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EE" w:rsidRPr="00171ADD" w:rsidRDefault="009146A2" w:rsidP="00171ADD">
      <w:pPr>
        <w:rPr>
          <w:b/>
        </w:rPr>
      </w:pPr>
      <w:r w:rsidRPr="00171ADD">
        <w:rPr>
          <w:b/>
        </w:rPr>
        <w:t xml:space="preserve">GRAND ROUND del </w:t>
      </w:r>
      <w:r w:rsidR="00AD5290">
        <w:rPr>
          <w:b/>
        </w:rPr>
        <w:t>14 giugno</w:t>
      </w:r>
      <w:r w:rsidRPr="00171ADD">
        <w:rPr>
          <w:b/>
        </w:rPr>
        <w:t xml:space="preserve"> 2024</w:t>
      </w:r>
    </w:p>
    <w:p w:rsidR="00171ADD" w:rsidRPr="00171ADD" w:rsidRDefault="00171ADD" w:rsidP="00171ADD">
      <w:pPr>
        <w:rPr>
          <w:b/>
        </w:rPr>
      </w:pPr>
    </w:p>
    <w:p w:rsidR="009146A2" w:rsidRPr="00171ADD" w:rsidRDefault="00171ADD" w:rsidP="00171ADD">
      <w:pPr>
        <w:rPr>
          <w:b/>
        </w:rPr>
      </w:pPr>
      <w:r w:rsidRPr="00171ADD">
        <w:rPr>
          <w:b/>
        </w:rPr>
        <w:t>PREVENZIONE DEL TROMBOEMBOLISMO NEI PAZIENTI CON FIBRILLAZIONE ATRIALE E INSUFFICIENZA RENALE CRONICA AVANZATA</w:t>
      </w:r>
    </w:p>
    <w:p w:rsidR="009146A2" w:rsidRPr="00171ADD" w:rsidRDefault="009146A2" w:rsidP="00171ADD">
      <w:pPr>
        <w:rPr>
          <w:b/>
        </w:rPr>
      </w:pPr>
    </w:p>
    <w:p w:rsidR="009146A2" w:rsidRPr="00171ADD" w:rsidRDefault="009146A2" w:rsidP="00171ADD">
      <w:pPr>
        <w:rPr>
          <w:b/>
        </w:rPr>
      </w:pPr>
      <w:r w:rsidRPr="00171ADD">
        <w:rPr>
          <w:b/>
        </w:rPr>
        <w:t>Relatore: Tommaso Alberto Cipolla</w:t>
      </w:r>
      <w:r w:rsidR="00171ADD">
        <w:rPr>
          <w:b/>
        </w:rPr>
        <w:t xml:space="preserve">, </w:t>
      </w:r>
      <w:r w:rsidRPr="00171ADD">
        <w:rPr>
          <w:b/>
        </w:rPr>
        <w:t>Fondazione G. Giglio</w:t>
      </w:r>
    </w:p>
    <w:p w:rsidR="009B09A8" w:rsidRDefault="009B09A8" w:rsidP="00171ADD"/>
    <w:p w:rsidR="00AD02C1" w:rsidRDefault="00AD02C1" w:rsidP="00171ADD"/>
    <w:p w:rsidR="00AD02C1" w:rsidRDefault="00AD02C1" w:rsidP="00171ADD"/>
    <w:p w:rsidR="009B09A8" w:rsidRDefault="009B09A8" w:rsidP="00171ADD">
      <w:r>
        <w:t>LEGGENDA</w:t>
      </w:r>
    </w:p>
    <w:p w:rsidR="009B09A8" w:rsidRDefault="009B09A8" w:rsidP="00171ADD">
      <w:pPr>
        <w:pStyle w:val="Paragrafoelenco"/>
        <w:numPr>
          <w:ilvl w:val="0"/>
          <w:numId w:val="5"/>
        </w:numPr>
        <w:ind w:firstLine="0"/>
      </w:pPr>
      <w:r>
        <w:t xml:space="preserve">DOAC: </w:t>
      </w:r>
      <w:r w:rsidR="00830E56">
        <w:t>anticoagulanti orali ad azione diretta.</w:t>
      </w:r>
    </w:p>
    <w:p w:rsidR="009B09A8" w:rsidRDefault="009B09A8" w:rsidP="00171ADD">
      <w:pPr>
        <w:pStyle w:val="Paragrafoelenco"/>
        <w:numPr>
          <w:ilvl w:val="0"/>
          <w:numId w:val="5"/>
        </w:numPr>
        <w:ind w:firstLine="0"/>
      </w:pPr>
      <w:proofErr w:type="spellStart"/>
      <w:r>
        <w:t>eGFR</w:t>
      </w:r>
      <w:proofErr w:type="spellEnd"/>
      <w:r>
        <w:t>: stima del filtrato glomerulare desunto dalla creatinina.</w:t>
      </w:r>
    </w:p>
    <w:p w:rsidR="006B3A33" w:rsidRDefault="006B3A33" w:rsidP="00171ADD">
      <w:pPr>
        <w:pStyle w:val="Paragrafoelenco"/>
        <w:numPr>
          <w:ilvl w:val="0"/>
          <w:numId w:val="5"/>
        </w:numPr>
        <w:ind w:firstLine="0"/>
      </w:pPr>
      <w:r>
        <w:t>FA: fibrillazione atriale.</w:t>
      </w:r>
    </w:p>
    <w:p w:rsidR="00830E56" w:rsidRDefault="00830E56" w:rsidP="00171ADD">
      <w:pPr>
        <w:pStyle w:val="Paragrafoelenco"/>
        <w:numPr>
          <w:ilvl w:val="0"/>
          <w:numId w:val="5"/>
        </w:numPr>
        <w:ind w:firstLine="0"/>
        <w:rPr>
          <w:lang w:val="en-US"/>
        </w:rPr>
      </w:pPr>
      <w:r w:rsidRPr="00830E56">
        <w:rPr>
          <w:lang w:val="en-US"/>
        </w:rPr>
        <w:t>KDIGO: Kidney Disease: Improving G</w:t>
      </w:r>
      <w:r>
        <w:rPr>
          <w:lang w:val="en-US"/>
        </w:rPr>
        <w:t>lobal Outcomes.</w:t>
      </w:r>
    </w:p>
    <w:p w:rsidR="00830E56" w:rsidRDefault="00830E56" w:rsidP="00171ADD">
      <w:pPr>
        <w:pStyle w:val="Paragrafoelenco"/>
        <w:numPr>
          <w:ilvl w:val="0"/>
          <w:numId w:val="5"/>
        </w:numPr>
        <w:ind w:firstLine="0"/>
        <w:rPr>
          <w:lang w:val="en-US"/>
        </w:rPr>
      </w:pPr>
      <w:r>
        <w:rPr>
          <w:lang w:val="en-US"/>
        </w:rPr>
        <w:t xml:space="preserve">IRC: </w:t>
      </w:r>
      <w:proofErr w:type="spellStart"/>
      <w:r>
        <w:rPr>
          <w:lang w:val="en-US"/>
        </w:rPr>
        <w:t>insufficienza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renale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cronica</w:t>
      </w:r>
      <w:proofErr w:type="spellEnd"/>
      <w:r>
        <w:rPr>
          <w:lang w:val="en-US"/>
        </w:rPr>
        <w:t>.</w:t>
      </w:r>
    </w:p>
    <w:p w:rsidR="00AD02C1" w:rsidRPr="00AD02C1" w:rsidRDefault="00AD02C1" w:rsidP="00171ADD">
      <w:pPr>
        <w:pStyle w:val="Paragrafoelenco"/>
        <w:numPr>
          <w:ilvl w:val="0"/>
          <w:numId w:val="5"/>
        </w:numPr>
        <w:ind w:firstLine="0"/>
      </w:pPr>
      <w:r>
        <w:t>LAAC: o</w:t>
      </w:r>
      <w:r w:rsidRPr="00574B50">
        <w:t>cclusione meccanica dell’auricola</w:t>
      </w:r>
      <w:r>
        <w:t xml:space="preserve"> sinistra</w:t>
      </w:r>
    </w:p>
    <w:p w:rsidR="006B3A33" w:rsidRDefault="006B3A33" w:rsidP="00171ADD">
      <w:pPr>
        <w:pStyle w:val="Paragrafoelenco"/>
        <w:numPr>
          <w:ilvl w:val="0"/>
          <w:numId w:val="5"/>
        </w:numPr>
        <w:ind w:firstLine="0"/>
        <w:rPr>
          <w:lang w:val="en-US"/>
        </w:rPr>
      </w:pPr>
      <w:r>
        <w:rPr>
          <w:lang w:val="en-US"/>
        </w:rPr>
        <w:t xml:space="preserve">RTC: trial </w:t>
      </w:r>
      <w:proofErr w:type="spellStart"/>
      <w:r>
        <w:rPr>
          <w:lang w:val="en-US"/>
        </w:rPr>
        <w:t>clinico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randomizzato</w:t>
      </w:r>
      <w:proofErr w:type="spellEnd"/>
      <w:r>
        <w:rPr>
          <w:lang w:val="en-US"/>
        </w:rPr>
        <w:t>.</w:t>
      </w:r>
    </w:p>
    <w:p w:rsidR="006B3A33" w:rsidRPr="00830E56" w:rsidRDefault="006B3A33" w:rsidP="00171ADD">
      <w:pPr>
        <w:pStyle w:val="Paragrafoelenco"/>
        <w:numPr>
          <w:ilvl w:val="0"/>
          <w:numId w:val="5"/>
        </w:numPr>
        <w:ind w:firstLine="0"/>
        <w:rPr>
          <w:lang w:val="en-US"/>
        </w:rPr>
      </w:pPr>
      <w:r>
        <w:rPr>
          <w:lang w:val="en-US"/>
        </w:rPr>
        <w:t xml:space="preserve">TAO: </w:t>
      </w:r>
      <w:proofErr w:type="spellStart"/>
      <w:r>
        <w:rPr>
          <w:lang w:val="en-US"/>
        </w:rPr>
        <w:t>terapia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anticoagulante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orale</w:t>
      </w:r>
      <w:proofErr w:type="spellEnd"/>
      <w:r>
        <w:rPr>
          <w:lang w:val="en-US"/>
        </w:rPr>
        <w:t>.</w:t>
      </w:r>
    </w:p>
    <w:p w:rsidR="00830E56" w:rsidRDefault="00830E56" w:rsidP="00171ADD">
      <w:pPr>
        <w:pStyle w:val="Paragrafoelenco"/>
        <w:numPr>
          <w:ilvl w:val="0"/>
          <w:numId w:val="5"/>
        </w:numPr>
        <w:ind w:firstLine="0"/>
      </w:pPr>
      <w:r>
        <w:t>VKA: antagonisti della vitamina K</w:t>
      </w:r>
      <w:r w:rsidR="006B3A33">
        <w:t>.</w:t>
      </w:r>
    </w:p>
    <w:p w:rsidR="009146A2" w:rsidRDefault="002146BD" w:rsidP="00171ADD">
      <w:pPr>
        <w:pStyle w:val="Paragrafoelenco"/>
        <w:numPr>
          <w:ilvl w:val="0"/>
          <w:numId w:val="5"/>
        </w:numPr>
        <w:ind w:firstLine="0"/>
      </w:pPr>
      <w:r>
        <w:t>VTE: trombo-embolismo venoso</w:t>
      </w:r>
    </w:p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AD02C1" w:rsidRDefault="00AD02C1" w:rsidP="00171ADD"/>
    <w:p w:rsidR="009146A2" w:rsidRDefault="009146A2" w:rsidP="00171ADD">
      <w:r>
        <w:t xml:space="preserve">La prevalenza della fibrillazione atriale </w:t>
      </w:r>
      <w:r w:rsidR="00073205">
        <w:t>aumenta con il peggioramento della</w:t>
      </w:r>
      <w:r w:rsidR="00E92A5C">
        <w:t xml:space="preserve"> funzione renale </w:t>
      </w:r>
      <w:r w:rsidR="007C6CA1">
        <w:t>e</w:t>
      </w:r>
      <w:r w:rsidR="00E92A5C">
        <w:t xml:space="preserve"> </w:t>
      </w:r>
      <w:r w:rsidR="00073205">
        <w:t>si correla</w:t>
      </w:r>
      <w:r w:rsidR="00F75CB8">
        <w:t xml:space="preserve"> </w:t>
      </w:r>
      <w:r w:rsidR="007C6CA1">
        <w:t xml:space="preserve">sia </w:t>
      </w:r>
      <w:r w:rsidR="00073205">
        <w:t>al</w:t>
      </w:r>
      <w:r w:rsidR="00E92A5C">
        <w:t>la diminuzione</w:t>
      </w:r>
      <w:r w:rsidR="00F75CB8">
        <w:t xml:space="preserve"> del filtrato glomerulare </w:t>
      </w:r>
      <w:r w:rsidR="007C6CA1">
        <w:t>sia</w:t>
      </w:r>
      <w:r w:rsidR="00F75CB8">
        <w:t xml:space="preserve"> </w:t>
      </w:r>
      <w:r w:rsidR="00073205">
        <w:t>al</w:t>
      </w:r>
      <w:r w:rsidR="00F75CB8">
        <w:t>l’aument</w:t>
      </w:r>
      <w:r w:rsidR="00073205">
        <w:t>o</w:t>
      </w:r>
      <w:r w:rsidR="00F75CB8">
        <w:t xml:space="preserve"> della proteinuria (JAMA. 2023;330(13):1266-1277).</w:t>
      </w:r>
      <w:r>
        <w:t xml:space="preserve"> </w:t>
      </w:r>
    </w:p>
    <w:p w:rsidR="00073205" w:rsidRDefault="00073205" w:rsidP="00171ADD"/>
    <w:p w:rsidR="009146A2" w:rsidRDefault="009146A2" w:rsidP="00171ADD">
      <w:r w:rsidRPr="009146A2">
        <w:rPr>
          <w:noProof/>
        </w:rPr>
        <w:drawing>
          <wp:inline distT="0" distB="0" distL="0" distR="0" wp14:anchorId="3F502ADB" wp14:editId="057C7B4C">
            <wp:extent cx="5581015" cy="4959985"/>
            <wp:effectExtent l="12700" t="12700" r="6985" b="18415"/>
            <wp:docPr id="3" name="Immagin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41AFCB-4D12-504A-A2BB-2C422A0C11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41AFCB-4D12-504A-A2BB-2C422A0C11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9599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75CB8" w:rsidRDefault="00F75CB8" w:rsidP="00171ADD"/>
    <w:p w:rsidR="00F75CB8" w:rsidRDefault="00F75CB8" w:rsidP="00171ADD">
      <w:pPr>
        <w:spacing w:after="240"/>
        <w:rPr>
          <w:b/>
          <w:bCs/>
        </w:rPr>
      </w:pPr>
      <w:r w:rsidRPr="00F75CB8">
        <w:rPr>
          <w:rFonts w:eastAsiaTheme="minorEastAsia"/>
        </w:rPr>
        <w:t xml:space="preserve">I pazienti con fibrillazione atriale hanno </w:t>
      </w:r>
      <w:r>
        <w:t>approssimativamente</w:t>
      </w:r>
      <w:r w:rsidRPr="00F75CB8">
        <w:rPr>
          <w:rFonts w:eastAsiaTheme="minorEastAsia"/>
        </w:rPr>
        <w:t xml:space="preserve"> un rischio di morte doppio rispetto a chi non ne è affetto (</w:t>
      </w:r>
      <w:r w:rsidRPr="00F75CB8">
        <w:rPr>
          <w:rFonts w:eastAsiaTheme="minorEastAsia"/>
          <w:b/>
          <w:bCs/>
        </w:rPr>
        <w:t xml:space="preserve">Trends </w:t>
      </w:r>
      <w:proofErr w:type="spellStart"/>
      <w:r w:rsidRPr="00F75CB8">
        <w:rPr>
          <w:rFonts w:eastAsiaTheme="minorEastAsia"/>
          <w:b/>
          <w:bCs/>
        </w:rPr>
        <w:t>Cardiovasc</w:t>
      </w:r>
      <w:proofErr w:type="spellEnd"/>
      <w:r w:rsidRPr="00F75CB8">
        <w:rPr>
          <w:rFonts w:eastAsiaTheme="minorEastAsia"/>
          <w:b/>
          <w:bCs/>
        </w:rPr>
        <w:t xml:space="preserve"> </w:t>
      </w:r>
      <w:proofErr w:type="gramStart"/>
      <w:r w:rsidRPr="00F75CB8">
        <w:rPr>
          <w:rFonts w:eastAsiaTheme="minorEastAsia"/>
          <w:b/>
          <w:bCs/>
        </w:rPr>
        <w:t>Med.</w:t>
      </w:r>
      <w:proofErr w:type="gramEnd"/>
      <w:r w:rsidRPr="00F75CB8">
        <w:rPr>
          <w:rFonts w:eastAsiaTheme="minorEastAsia"/>
          <w:b/>
          <w:bCs/>
        </w:rPr>
        <w:t xml:space="preserve"> 2021 </w:t>
      </w:r>
      <w:proofErr w:type="spellStart"/>
      <w:r w:rsidRPr="00F75CB8">
        <w:rPr>
          <w:rFonts w:eastAsiaTheme="minorEastAsia"/>
          <w:b/>
          <w:bCs/>
        </w:rPr>
        <w:t>November</w:t>
      </w:r>
      <w:proofErr w:type="spellEnd"/>
      <w:r w:rsidRPr="00F75CB8">
        <w:rPr>
          <w:rFonts w:eastAsiaTheme="minorEastAsia"/>
          <w:b/>
          <w:bCs/>
        </w:rPr>
        <w:t xml:space="preserve"> ; 31(8): 469–473)</w:t>
      </w:r>
      <w:r w:rsidR="00E92A5C">
        <w:t xml:space="preserve">, </w:t>
      </w:r>
      <w:r w:rsidR="00073205">
        <w:t>e</w:t>
      </w:r>
      <w:r w:rsidRPr="00F75CB8">
        <w:rPr>
          <w:rFonts w:eastAsiaTheme="minorEastAsia"/>
        </w:rPr>
        <w:t xml:space="preserve"> </w:t>
      </w:r>
      <w:r w:rsidR="00073205">
        <w:t xml:space="preserve">l’incidenza </w:t>
      </w:r>
      <w:r w:rsidR="00073205" w:rsidRPr="00F75CB8">
        <w:rPr>
          <w:rFonts w:eastAsiaTheme="minorEastAsia"/>
        </w:rPr>
        <w:t>sia di eventi trombotici sia di eventi emorragici</w:t>
      </w:r>
      <w:r w:rsidR="00073205">
        <w:t xml:space="preserve"> aumenta ulteriormente</w:t>
      </w:r>
      <w:r w:rsidR="00E92A5C" w:rsidRPr="00F75CB8">
        <w:rPr>
          <w:rFonts w:eastAsiaTheme="minorEastAsia"/>
        </w:rPr>
        <w:t xml:space="preserve"> da 2 a 3 volte </w:t>
      </w:r>
      <w:r w:rsidR="00C8454B">
        <w:t xml:space="preserve">in caso di </w:t>
      </w:r>
      <w:r w:rsidRPr="00F75CB8">
        <w:rPr>
          <w:rFonts w:eastAsiaTheme="minorEastAsia"/>
        </w:rPr>
        <w:t>associazione con IRC</w:t>
      </w:r>
      <w:r w:rsidR="00C8454B">
        <w:t xml:space="preserve"> </w:t>
      </w:r>
      <w:r w:rsidRPr="00F75CB8">
        <w:rPr>
          <w:rFonts w:eastAsiaTheme="minorEastAsia"/>
        </w:rPr>
        <w:t>(</w:t>
      </w:r>
      <w:r w:rsidRPr="00F75CB8">
        <w:rPr>
          <w:rFonts w:eastAsiaTheme="minorEastAsia"/>
          <w:b/>
          <w:bCs/>
        </w:rPr>
        <w:t xml:space="preserve">N </w:t>
      </w:r>
      <w:proofErr w:type="spellStart"/>
      <w:r w:rsidRPr="00F75CB8">
        <w:rPr>
          <w:rFonts w:eastAsiaTheme="minorEastAsia"/>
          <w:b/>
          <w:bCs/>
        </w:rPr>
        <w:t>Engl</w:t>
      </w:r>
      <w:proofErr w:type="spellEnd"/>
      <w:r w:rsidRPr="00F75CB8">
        <w:rPr>
          <w:rFonts w:eastAsiaTheme="minorEastAsia"/>
          <w:b/>
          <w:bCs/>
        </w:rPr>
        <w:t xml:space="preserve"> J Med 2012;367:625-35)</w:t>
      </w:r>
      <w:r>
        <w:rPr>
          <w:b/>
          <w:bCs/>
        </w:rPr>
        <w:t>.</w:t>
      </w:r>
    </w:p>
    <w:p w:rsidR="00F75CB8" w:rsidRPr="00F75CB8" w:rsidRDefault="00F75CB8" w:rsidP="00171ADD">
      <w:pPr>
        <w:spacing w:after="240"/>
      </w:pPr>
      <w:r w:rsidRPr="00F75CB8">
        <w:rPr>
          <w:rFonts w:eastAsiaTheme="minorEastAsia"/>
        </w:rPr>
        <w:t xml:space="preserve">Purtroppo sappiamo che la terapia tradizionale con </w:t>
      </w:r>
      <w:proofErr w:type="spellStart"/>
      <w:r w:rsidRPr="00F75CB8">
        <w:rPr>
          <w:rFonts w:eastAsiaTheme="minorEastAsia"/>
        </w:rPr>
        <w:t>Warfarin</w:t>
      </w:r>
      <w:proofErr w:type="spellEnd"/>
      <w:r w:rsidRPr="00F75CB8">
        <w:rPr>
          <w:rFonts w:eastAsiaTheme="minorEastAsia"/>
        </w:rPr>
        <w:t xml:space="preserve"> </w:t>
      </w:r>
      <w:r>
        <w:t xml:space="preserve">espone il </w:t>
      </w:r>
      <w:r w:rsidRPr="00F75CB8">
        <w:rPr>
          <w:rFonts w:eastAsiaTheme="minorEastAsia"/>
        </w:rPr>
        <w:t>p</w:t>
      </w:r>
      <w:r>
        <w:t>aziente</w:t>
      </w:r>
      <w:r w:rsidRPr="00F75CB8">
        <w:rPr>
          <w:rFonts w:eastAsiaTheme="minorEastAsia"/>
        </w:rPr>
        <w:t xml:space="preserve"> con IRC avanzata</w:t>
      </w:r>
      <w:r w:rsidRPr="00F75CB8">
        <w:t xml:space="preserve"> </w:t>
      </w:r>
      <w:r>
        <w:t xml:space="preserve">a </w:t>
      </w:r>
      <w:r w:rsidRPr="00F75CB8">
        <w:rPr>
          <w:rFonts w:eastAsiaTheme="minorEastAsia"/>
        </w:rPr>
        <w:t xml:space="preserve">gravi pericoli, per almeno 3 motivi: </w:t>
      </w:r>
    </w:p>
    <w:p w:rsidR="00FF2875" w:rsidRPr="00F75CB8" w:rsidRDefault="00CE4935" w:rsidP="00171ADD">
      <w:pPr>
        <w:numPr>
          <w:ilvl w:val="0"/>
          <w:numId w:val="1"/>
        </w:numPr>
        <w:ind w:left="714" w:hanging="430"/>
      </w:pPr>
      <w:r w:rsidRPr="00F75CB8">
        <w:rPr>
          <w:rFonts w:eastAsiaTheme="minorEastAsia"/>
        </w:rPr>
        <w:t xml:space="preserve">l’inibizione della produzione epatica della proteina </w:t>
      </w:r>
      <w:proofErr w:type="spellStart"/>
      <w:r w:rsidRPr="00F75CB8">
        <w:rPr>
          <w:rFonts w:eastAsiaTheme="minorEastAsia"/>
          <w:b/>
          <w:bCs/>
        </w:rPr>
        <w:t>Gla</w:t>
      </w:r>
      <w:proofErr w:type="spellEnd"/>
      <w:r w:rsidRPr="00F75CB8">
        <w:rPr>
          <w:rFonts w:eastAsiaTheme="minorEastAsia"/>
        </w:rPr>
        <w:t xml:space="preserve">, fattore di inibizione della calcificazione, con conseguente </w:t>
      </w:r>
      <w:proofErr w:type="spellStart"/>
      <w:r w:rsidRPr="00F75CB8">
        <w:rPr>
          <w:rFonts w:eastAsiaTheme="minorEastAsia"/>
        </w:rPr>
        <w:t>calcifilassi</w:t>
      </w:r>
      <w:proofErr w:type="spellEnd"/>
      <w:r w:rsidRPr="00F75CB8">
        <w:rPr>
          <w:rFonts w:eastAsiaTheme="minorEastAsia"/>
        </w:rPr>
        <w:t xml:space="preserve"> e </w:t>
      </w:r>
      <w:r w:rsidR="009F1FAB">
        <w:rPr>
          <w:rFonts w:eastAsiaTheme="minorEastAsia"/>
        </w:rPr>
        <w:t xml:space="preserve">possibile </w:t>
      </w:r>
      <w:proofErr w:type="spellStart"/>
      <w:r w:rsidRPr="00F75CB8">
        <w:rPr>
          <w:rFonts w:eastAsiaTheme="minorEastAsia"/>
        </w:rPr>
        <w:t>instabilizzazione</w:t>
      </w:r>
      <w:proofErr w:type="spellEnd"/>
      <w:r w:rsidRPr="00F75CB8">
        <w:rPr>
          <w:rFonts w:eastAsiaTheme="minorEastAsia"/>
        </w:rPr>
        <w:t xml:space="preserve"> delle placche</w:t>
      </w:r>
      <w:r w:rsidR="00F75CB8">
        <w:t xml:space="preserve"> ateromasiche;</w:t>
      </w:r>
    </w:p>
    <w:p w:rsidR="00FF2875" w:rsidRPr="00F75CB8" w:rsidRDefault="00CE4935" w:rsidP="00171ADD">
      <w:pPr>
        <w:numPr>
          <w:ilvl w:val="0"/>
          <w:numId w:val="1"/>
        </w:numPr>
        <w:ind w:left="714" w:hanging="430"/>
      </w:pPr>
      <w:r w:rsidRPr="00F75CB8">
        <w:rPr>
          <w:rFonts w:eastAsiaTheme="minorEastAsia"/>
        </w:rPr>
        <w:t>micro-sanguinamenti subclinici tubulari</w:t>
      </w:r>
      <w:r w:rsidR="00F75CB8">
        <w:t>,</w:t>
      </w:r>
      <w:r w:rsidRPr="00F75CB8">
        <w:rPr>
          <w:rFonts w:eastAsiaTheme="minorEastAsia"/>
        </w:rPr>
        <w:t xml:space="preserve"> con conseguente accelerazione della progressione dell’IRC</w:t>
      </w:r>
      <w:r w:rsidR="00F75CB8">
        <w:t>;</w:t>
      </w:r>
    </w:p>
    <w:p w:rsidR="00FF2875" w:rsidRDefault="00CE4935" w:rsidP="00171ADD">
      <w:pPr>
        <w:numPr>
          <w:ilvl w:val="0"/>
          <w:numId w:val="1"/>
        </w:numPr>
        <w:ind w:left="714" w:hanging="430"/>
      </w:pPr>
      <w:r w:rsidRPr="00F75CB8">
        <w:rPr>
          <w:rFonts w:eastAsiaTheme="minorEastAsia"/>
        </w:rPr>
        <w:t xml:space="preserve">frequente mancato rispetto del </w:t>
      </w:r>
      <w:proofErr w:type="spellStart"/>
      <w:r w:rsidRPr="00F75CB8">
        <w:rPr>
          <w:rFonts w:eastAsiaTheme="minorEastAsia"/>
        </w:rPr>
        <w:t>range</w:t>
      </w:r>
      <w:proofErr w:type="spellEnd"/>
      <w:r w:rsidRPr="00F75CB8">
        <w:rPr>
          <w:rFonts w:eastAsiaTheme="minorEastAsia"/>
        </w:rPr>
        <w:t xml:space="preserve"> terapeutico</w:t>
      </w:r>
      <w:r w:rsidR="00F75CB8">
        <w:t xml:space="preserve">, </w:t>
      </w:r>
      <w:r w:rsidRPr="00F75CB8">
        <w:rPr>
          <w:rFonts w:eastAsiaTheme="minorEastAsia"/>
        </w:rPr>
        <w:t xml:space="preserve">inclusa la frequente sospensione della terapia, con conseguenti rischi sia di trombosi che di </w:t>
      </w:r>
      <w:r w:rsidR="00F75CB8">
        <w:t>emorragie.</w:t>
      </w:r>
    </w:p>
    <w:p w:rsidR="00F26114" w:rsidRDefault="0091634C" w:rsidP="00171ADD">
      <w:pPr>
        <w:pStyle w:val="NormaleWeb"/>
        <w:rPr>
          <w:rFonts w:ascii="AdvMyrlight_R" w:hAnsi="AdvMyrlight_R"/>
          <w:sz w:val="16"/>
          <w:szCs w:val="16"/>
        </w:rPr>
      </w:pPr>
      <w:r>
        <w:rPr>
          <w:rFonts w:eastAsia="Heiti TC Medium"/>
        </w:rPr>
        <w:t>Tenuto conto di questi pericoli, le linee guida KDIGO del 2011 raccomandavano di non praticare la profilassi anticoagulante nei pazienti con insufficienza renale cronica allo stadio 5 (</w:t>
      </w:r>
      <w:proofErr w:type="spellStart"/>
      <w:r w:rsidRPr="00F26114">
        <w:rPr>
          <w:b/>
        </w:rPr>
        <w:t>Kidney</w:t>
      </w:r>
      <w:proofErr w:type="spellEnd"/>
      <w:r w:rsidRPr="00F26114">
        <w:rPr>
          <w:b/>
        </w:rPr>
        <w:t xml:space="preserve"> International (2011) 80, 572–586</w:t>
      </w:r>
      <w:r w:rsidRPr="00F26114">
        <w:rPr>
          <w:rFonts w:ascii="AdvMyrlight_R" w:hAnsi="AdvMyrlight_R"/>
        </w:rPr>
        <w:t>)</w:t>
      </w:r>
      <w:r>
        <w:rPr>
          <w:rFonts w:ascii="AdvMyrlight_R" w:hAnsi="AdvMyrlight_R"/>
          <w:sz w:val="16"/>
          <w:szCs w:val="16"/>
        </w:rPr>
        <w:t xml:space="preserve">. </w:t>
      </w:r>
      <w:r w:rsidR="009B09A8">
        <w:rPr>
          <w:rFonts w:ascii="AdvMyrlight_R" w:hAnsi="AdvMyrlight_R"/>
          <w:sz w:val="16"/>
          <w:szCs w:val="16"/>
        </w:rPr>
        <w:t xml:space="preserve"> </w:t>
      </w:r>
      <w:r w:rsidR="00073205">
        <w:t xml:space="preserve">I rischi del </w:t>
      </w:r>
      <w:proofErr w:type="spellStart"/>
      <w:r w:rsidR="00073205">
        <w:t>Warfarin</w:t>
      </w:r>
      <w:proofErr w:type="spellEnd"/>
      <w:r w:rsidR="00073205">
        <w:t xml:space="preserve"> sono </w:t>
      </w:r>
      <w:r>
        <w:t xml:space="preserve">stati </w:t>
      </w:r>
      <w:r w:rsidR="00073205">
        <w:t xml:space="preserve">confermati </w:t>
      </w:r>
      <w:r>
        <w:t xml:space="preserve">più recentemente. </w:t>
      </w:r>
      <w:r w:rsidR="009B09A8">
        <w:t>In una</w:t>
      </w:r>
      <w:r w:rsidR="00073205">
        <w:t xml:space="preserve"> </w:t>
      </w:r>
      <w:proofErr w:type="spellStart"/>
      <w:r w:rsidR="00073205">
        <w:t>metanalisi</w:t>
      </w:r>
      <w:proofErr w:type="spellEnd"/>
      <w:r w:rsidR="00073205">
        <w:t xml:space="preserve"> </w:t>
      </w:r>
      <w:r w:rsidR="009B09A8">
        <w:t xml:space="preserve">del 2020 </w:t>
      </w:r>
      <w:r w:rsidR="00073205" w:rsidRPr="00F26114">
        <w:rPr>
          <w:rFonts w:eastAsia="Heiti TC Medium"/>
        </w:rPr>
        <w:t>(</w:t>
      </w:r>
      <w:r w:rsidR="00073205" w:rsidRPr="00F26114">
        <w:rPr>
          <w:rFonts w:eastAsia="Heiti TC Medium"/>
          <w:b/>
          <w:iCs/>
        </w:rPr>
        <w:t xml:space="preserve">JAMA Network Open. </w:t>
      </w:r>
      <w:r w:rsidR="00073205" w:rsidRPr="00F26114">
        <w:rPr>
          <w:rFonts w:eastAsia="Heiti TC Medium"/>
          <w:b/>
        </w:rPr>
        <w:t>2020;3</w:t>
      </w:r>
      <w:proofErr w:type="gramStart"/>
      <w:r w:rsidR="00073205" w:rsidRPr="00F26114">
        <w:rPr>
          <w:rFonts w:eastAsia="Heiti TC Medium"/>
          <w:b/>
        </w:rPr>
        <w:t>(</w:t>
      </w:r>
      <w:proofErr w:type="gramEnd"/>
      <w:r w:rsidR="00073205" w:rsidRPr="00F26114">
        <w:rPr>
          <w:rFonts w:eastAsia="Heiti TC Medium"/>
          <w:b/>
        </w:rPr>
        <w:t>4):e202175</w:t>
      </w:r>
      <w:r w:rsidR="00073205">
        <w:rPr>
          <w:rFonts w:eastAsia="Heiti TC Medium"/>
        </w:rPr>
        <w:t>)</w:t>
      </w:r>
      <w:r w:rsidR="009B09A8">
        <w:rPr>
          <w:rFonts w:eastAsia="Heiti TC Medium"/>
        </w:rPr>
        <w:t>, che</w:t>
      </w:r>
      <w:r w:rsidR="00073205">
        <w:rPr>
          <w:rFonts w:eastAsia="Heiti TC Medium"/>
        </w:rPr>
        <w:t xml:space="preserve"> </w:t>
      </w:r>
      <w:r w:rsidR="00F26114">
        <w:t xml:space="preserve">ha analizzato tutti gli studi </w:t>
      </w:r>
      <w:r w:rsidR="00073205">
        <w:t>di</w:t>
      </w:r>
      <w:r w:rsidR="00F26114">
        <w:t xml:space="preserve"> confronto tra la terapia con </w:t>
      </w:r>
      <w:proofErr w:type="spellStart"/>
      <w:r w:rsidR="002146BD">
        <w:t>w</w:t>
      </w:r>
      <w:r w:rsidR="00F26114">
        <w:t>arfarin</w:t>
      </w:r>
      <w:proofErr w:type="spellEnd"/>
      <w:r w:rsidR="00F26114">
        <w:t xml:space="preserve"> rispetto a nessuna terapia antitrombotica in pazienti con FA e IRC avanzata o in fase dialitica</w:t>
      </w:r>
      <w:r w:rsidR="009B09A8">
        <w:t>, si</w:t>
      </w:r>
      <w:r>
        <w:t xml:space="preserve"> dimostra</w:t>
      </w:r>
      <w:r w:rsidR="009B09A8">
        <w:t xml:space="preserve"> che la terapia con</w:t>
      </w:r>
      <w:r w:rsidR="00F26114">
        <w:t xml:space="preserve"> </w:t>
      </w:r>
      <w:proofErr w:type="spellStart"/>
      <w:r w:rsidR="002146BD">
        <w:t>w</w:t>
      </w:r>
      <w:r w:rsidR="009B09A8">
        <w:t>arfarin</w:t>
      </w:r>
      <w:proofErr w:type="spellEnd"/>
      <w:r w:rsidR="009B09A8">
        <w:t xml:space="preserve"> rispetto a nessuna terapia ha </w:t>
      </w:r>
      <w:r w:rsidR="00F26114">
        <w:t xml:space="preserve">un effetto del tutto neutro su mortalità e </w:t>
      </w:r>
      <w:proofErr w:type="spellStart"/>
      <w:r w:rsidR="00F26114">
        <w:t>stroke</w:t>
      </w:r>
      <w:proofErr w:type="spellEnd"/>
      <w:r w:rsidR="00F26114">
        <w:t xml:space="preserve"> ischemico a fronte di un significativo incremento degli </w:t>
      </w:r>
      <w:proofErr w:type="spellStart"/>
      <w:r w:rsidR="00F26114">
        <w:t>stroke</w:t>
      </w:r>
      <w:proofErr w:type="spellEnd"/>
      <w:r w:rsidR="00F26114">
        <w:t xml:space="preserve"> </w:t>
      </w:r>
      <w:r w:rsidR="00F26114" w:rsidRPr="00F26114">
        <w:rPr>
          <w:rFonts w:eastAsia="Heiti TC Medium"/>
        </w:rPr>
        <w:t>emorragici</w:t>
      </w:r>
      <w:r w:rsidR="00F26114">
        <w:rPr>
          <w:rFonts w:eastAsia="Heiti TC Medium"/>
        </w:rPr>
        <w:t xml:space="preserve">. </w:t>
      </w:r>
    </w:p>
    <w:p w:rsidR="00114355" w:rsidRPr="00114355" w:rsidRDefault="0091634C" w:rsidP="00171ADD">
      <w:pPr>
        <w:pStyle w:val="NormaleWeb"/>
      </w:pPr>
      <w:r>
        <w:t>A differenza degli antagonisti diretti della vitamina K,</w:t>
      </w:r>
      <w:r w:rsidR="00AB70D5" w:rsidRPr="00AB70D5">
        <w:t xml:space="preserve"> i DOAC esplicano varie attività anti-infiammatorie e </w:t>
      </w:r>
      <w:r w:rsidR="009B09A8">
        <w:t xml:space="preserve">di </w:t>
      </w:r>
      <w:r w:rsidR="00AB70D5" w:rsidRPr="00AB70D5">
        <w:t>vaso-</w:t>
      </w:r>
      <w:r w:rsidR="009B09A8">
        <w:t>protezione</w:t>
      </w:r>
      <w:r w:rsidR="00AB70D5" w:rsidRPr="00AB70D5">
        <w:t xml:space="preserve"> che, teoricamente, li candidano a terapia ideale nei p. </w:t>
      </w:r>
      <w:r w:rsidR="00AB70D5" w:rsidRPr="00114355">
        <w:t>con IRC avanzata</w:t>
      </w:r>
      <w:r w:rsidR="00114355" w:rsidRPr="00114355">
        <w:t xml:space="preserve"> (</w:t>
      </w:r>
      <w:proofErr w:type="spellStart"/>
      <w:r w:rsidR="00114355" w:rsidRPr="00114355">
        <w:rPr>
          <w:b/>
          <w:bCs/>
          <w:iCs/>
        </w:rPr>
        <w:t>Int</w:t>
      </w:r>
      <w:proofErr w:type="spellEnd"/>
      <w:r w:rsidR="00114355" w:rsidRPr="00114355">
        <w:rPr>
          <w:b/>
          <w:bCs/>
          <w:iCs/>
        </w:rPr>
        <w:t xml:space="preserve">. J. </w:t>
      </w:r>
      <w:proofErr w:type="spellStart"/>
      <w:r w:rsidR="00114355" w:rsidRPr="00114355">
        <w:rPr>
          <w:b/>
          <w:bCs/>
          <w:iCs/>
        </w:rPr>
        <w:t>Environ</w:t>
      </w:r>
      <w:proofErr w:type="spellEnd"/>
      <w:r w:rsidR="00114355" w:rsidRPr="00114355">
        <w:rPr>
          <w:b/>
          <w:bCs/>
          <w:iCs/>
        </w:rPr>
        <w:t xml:space="preserve">. Res. Public </w:t>
      </w:r>
      <w:proofErr w:type="spellStart"/>
      <w:r w:rsidR="00114355" w:rsidRPr="00114355">
        <w:rPr>
          <w:b/>
          <w:bCs/>
          <w:iCs/>
        </w:rPr>
        <w:t>Health</w:t>
      </w:r>
      <w:proofErr w:type="spellEnd"/>
      <w:r w:rsidR="00114355" w:rsidRPr="00114355">
        <w:rPr>
          <w:b/>
          <w:bCs/>
          <w:iCs/>
        </w:rPr>
        <w:t xml:space="preserve"> 2022, 19, 1436</w:t>
      </w:r>
      <w:r w:rsidR="00114355" w:rsidRPr="00114355">
        <w:rPr>
          <w:bCs/>
          <w:iCs/>
        </w:rPr>
        <w:t>)</w:t>
      </w:r>
      <w:r w:rsidR="00114355" w:rsidRPr="00114355">
        <w:t xml:space="preserve">. </w:t>
      </w:r>
    </w:p>
    <w:p w:rsidR="00FF2875" w:rsidRDefault="00AB70D5" w:rsidP="00171ADD">
      <w:pPr>
        <w:pStyle w:val="NormaleWeb"/>
      </w:pPr>
      <w:r>
        <w:t xml:space="preserve">Purtroppo, però, </w:t>
      </w:r>
      <w:r w:rsidR="009B09A8">
        <w:t xml:space="preserve">disponiamo di dati certi su </w:t>
      </w:r>
      <w:r w:rsidR="009B09A8" w:rsidRPr="00AB70D5">
        <w:t xml:space="preserve">sicurezza ed efficacia </w:t>
      </w:r>
      <w:r w:rsidR="009B09A8">
        <w:t xml:space="preserve">dei </w:t>
      </w:r>
      <w:r w:rsidR="009B09A8" w:rsidRPr="00AB70D5">
        <w:t xml:space="preserve">DOAC </w:t>
      </w:r>
      <w:r w:rsidR="009B09A8">
        <w:t>solo</w:t>
      </w:r>
      <w:r w:rsidR="009B09A8" w:rsidRPr="00AB70D5">
        <w:t xml:space="preserve"> nei p</w:t>
      </w:r>
      <w:r w:rsidR="009B09A8">
        <w:t xml:space="preserve">azienti </w:t>
      </w:r>
      <w:r w:rsidR="009B09A8" w:rsidRPr="00AB70D5">
        <w:t>con funzione renale da normale a moderatamente ridotta (GFR 30-49)</w:t>
      </w:r>
      <w:r w:rsidR="009B09A8">
        <w:t>. Viceversa, i dati su VKA e DOAC in pazienti</w:t>
      </w:r>
      <w:r w:rsidRPr="00AB70D5">
        <w:t xml:space="preserve"> con IRC </w:t>
      </w:r>
      <w:r w:rsidR="009B09A8">
        <w:t xml:space="preserve">severa </w:t>
      </w:r>
      <w:r w:rsidRPr="00AB70D5">
        <w:t xml:space="preserve">sono </w:t>
      </w:r>
      <w:r w:rsidR="009B09A8">
        <w:t xml:space="preserve">estremamente limitati. </w:t>
      </w:r>
      <w:r w:rsidR="00CE4935" w:rsidRPr="00AB70D5">
        <w:t>Ancora più inconsistenti i dati relativi a</w:t>
      </w:r>
      <w:r w:rsidR="006A7AF7">
        <w:t xml:space="preserve">i p. con </w:t>
      </w:r>
      <w:r w:rsidR="00CE4935" w:rsidRPr="00AB70D5">
        <w:t xml:space="preserve">IRC terminale (GFR &lt;15) o in dialisi. </w:t>
      </w:r>
      <w:r w:rsidR="009B09A8">
        <w:t>Infine, n</w:t>
      </w:r>
      <w:r w:rsidR="00CE4935" w:rsidRPr="00AB70D5">
        <w:t xml:space="preserve">on esistono </w:t>
      </w:r>
      <w:r>
        <w:t>trial clinici randomizzati (</w:t>
      </w:r>
      <w:r w:rsidR="00CE4935" w:rsidRPr="00AB70D5">
        <w:t>RCT</w:t>
      </w:r>
      <w:r>
        <w:t>)</w:t>
      </w:r>
      <w:r w:rsidR="00CE4935" w:rsidRPr="00AB70D5">
        <w:t xml:space="preserve"> sulla TAO in pazienti dopo trapianto renale</w:t>
      </w:r>
      <w:r w:rsidR="009B09A8">
        <w:t>.</w:t>
      </w:r>
    </w:p>
    <w:p w:rsidR="00E92A5C" w:rsidRPr="00976E76" w:rsidRDefault="00E92A5C" w:rsidP="00171ADD">
      <w:pPr>
        <w:pStyle w:val="NormaleWeb"/>
      </w:pPr>
      <w:r>
        <w:t xml:space="preserve">Cerchiamo quindi di analizzare i pochi dati disponibili. I primi provengono dall’analisi </w:t>
      </w:r>
      <w:r w:rsidR="00892B61">
        <w:t xml:space="preserve">dei dati </w:t>
      </w:r>
      <w:r w:rsidRPr="00976E76">
        <w:t xml:space="preserve">relativi ai pochi pazienti arruolati negli studi registrativi dei </w:t>
      </w:r>
      <w:r w:rsidR="009B09A8">
        <w:t>DOAC</w:t>
      </w:r>
      <w:r w:rsidRPr="00976E76">
        <w:t>.</w:t>
      </w:r>
    </w:p>
    <w:p w:rsidR="002C7DC5" w:rsidRPr="00073205" w:rsidRDefault="00976E76" w:rsidP="00171ADD">
      <w:pPr>
        <w:spacing w:before="100" w:beforeAutospacing="1" w:after="100" w:afterAutospacing="1"/>
      </w:pPr>
      <w:r>
        <w:t xml:space="preserve">L’analisi retrospettiva dei </w:t>
      </w:r>
      <w:r w:rsidR="008C709C" w:rsidRPr="00976E76">
        <w:t xml:space="preserve">pazienti con IRC severa </w:t>
      </w:r>
      <w:r w:rsidR="008C709C">
        <w:t>arruolati nello</w:t>
      </w:r>
      <w:r w:rsidRPr="00976E76">
        <w:t xml:space="preserve"> studio </w:t>
      </w:r>
      <w:proofErr w:type="spellStart"/>
      <w:r w:rsidRPr="00976E76">
        <w:t>registrativo</w:t>
      </w:r>
      <w:proofErr w:type="spellEnd"/>
      <w:r w:rsidRPr="00976E76">
        <w:t xml:space="preserve"> dell’</w:t>
      </w:r>
      <w:proofErr w:type="spellStart"/>
      <w:r w:rsidR="006B3A33">
        <w:t>a</w:t>
      </w:r>
      <w:r w:rsidRPr="00976E76">
        <w:t>pixaban</w:t>
      </w:r>
      <w:proofErr w:type="spellEnd"/>
      <w:r w:rsidRPr="00976E76">
        <w:t xml:space="preserve">, </w:t>
      </w:r>
      <w:r w:rsidR="002146BD">
        <w:t xml:space="preserve">trial </w:t>
      </w:r>
      <w:proofErr w:type="spellStart"/>
      <w:r w:rsidRPr="00976E76">
        <w:t>Aristotle</w:t>
      </w:r>
      <w:proofErr w:type="spellEnd"/>
      <w:r w:rsidRPr="00976E76">
        <w:t xml:space="preserve">, </w:t>
      </w:r>
      <w:r w:rsidR="008C709C">
        <w:t>dimostra</w:t>
      </w:r>
      <w:r w:rsidRPr="00976E76">
        <w:t xml:space="preserve"> </w:t>
      </w:r>
      <w:r w:rsidR="008C709C">
        <w:t xml:space="preserve">che </w:t>
      </w:r>
      <w:r w:rsidRPr="00976E76">
        <w:t xml:space="preserve">i benefici </w:t>
      </w:r>
      <w:r w:rsidR="008C709C">
        <w:t xml:space="preserve">in questa tipologia di pazienti </w:t>
      </w:r>
      <w:r w:rsidRPr="00976E76">
        <w:t xml:space="preserve">non </w:t>
      </w:r>
      <w:r w:rsidR="008C709C">
        <w:t>sono</w:t>
      </w:r>
      <w:r w:rsidRPr="00976E76">
        <w:t xml:space="preserve"> differenti rispetto alla popolazione generale</w:t>
      </w:r>
      <w:r w:rsidR="008C709C">
        <w:t>, ossia</w:t>
      </w:r>
      <w:r w:rsidRPr="00976E76">
        <w:t xml:space="preserve"> </w:t>
      </w:r>
      <w:r w:rsidR="008C709C">
        <w:t>vi è un’</w:t>
      </w:r>
      <w:r w:rsidRPr="00976E76">
        <w:t xml:space="preserve">efficacia sovrapponibile a </w:t>
      </w:r>
      <w:proofErr w:type="spellStart"/>
      <w:r w:rsidRPr="00976E76">
        <w:t>warfarin</w:t>
      </w:r>
      <w:proofErr w:type="spellEnd"/>
      <w:r w:rsidRPr="00976E76">
        <w:t xml:space="preserve"> e </w:t>
      </w:r>
      <w:r w:rsidR="008C709C">
        <w:t xml:space="preserve">una </w:t>
      </w:r>
      <w:r w:rsidRPr="00976E76">
        <w:t>significativa riduzione dei sanguinamenti</w:t>
      </w:r>
      <w:r w:rsidR="008C709C">
        <w:t>, specie dei sanguinamenti maggiori e delle emorragie intracraniche (</w:t>
      </w:r>
      <w:proofErr w:type="spellStart"/>
      <w:r w:rsidRPr="00976E76">
        <w:rPr>
          <w:b/>
        </w:rPr>
        <w:t>Circulation</w:t>
      </w:r>
      <w:proofErr w:type="spellEnd"/>
      <w:r w:rsidRPr="00976E76">
        <w:rPr>
          <w:b/>
        </w:rPr>
        <w:t xml:space="preserve">. </w:t>
      </w:r>
      <w:r w:rsidRPr="00073205">
        <w:rPr>
          <w:b/>
        </w:rPr>
        <w:t>2020;141:1384–1392</w:t>
      </w:r>
      <w:proofErr w:type="gramStart"/>
      <w:r w:rsidR="008C709C" w:rsidRPr="00073205">
        <w:t>).</w:t>
      </w:r>
      <w:proofErr w:type="gramEnd"/>
      <w:r w:rsidRPr="00073205">
        <w:t xml:space="preserve"> </w:t>
      </w:r>
    </w:p>
    <w:p w:rsidR="002C7DC5" w:rsidRDefault="002C7DC5" w:rsidP="00171ADD">
      <w:pPr>
        <w:spacing w:before="100" w:beforeAutospacing="1" w:after="100" w:afterAutospacing="1"/>
      </w:pPr>
      <w:r w:rsidRPr="002C7DC5">
        <w:t xml:space="preserve">Un’analisi retrospettiva di </w:t>
      </w:r>
      <w:r>
        <w:t xml:space="preserve">studi clinici randomizzati e studi osservazionali di confronto fra DOAC e </w:t>
      </w:r>
      <w:proofErr w:type="spellStart"/>
      <w:r w:rsidR="002146BD">
        <w:t>w</w:t>
      </w:r>
      <w:r>
        <w:t>arfarin</w:t>
      </w:r>
      <w:proofErr w:type="spellEnd"/>
      <w:r>
        <w:t xml:space="preserve"> in pazienti con IRC stadio 3-5, ha mostrato in sintesi questi risultati:</w:t>
      </w:r>
    </w:p>
    <w:p w:rsidR="00FF2875" w:rsidRPr="002C7DC5" w:rsidRDefault="006B3A33" w:rsidP="00892B61">
      <w:pPr>
        <w:numPr>
          <w:ilvl w:val="0"/>
          <w:numId w:val="3"/>
        </w:numPr>
        <w:spacing w:before="100" w:beforeAutospacing="1" w:after="100" w:afterAutospacing="1"/>
        <w:ind w:hanging="436"/>
      </w:pPr>
      <w:r>
        <w:rPr>
          <w:rFonts w:eastAsiaTheme="minorEastAsia"/>
        </w:rPr>
        <w:t xml:space="preserve">I </w:t>
      </w:r>
      <w:r w:rsidR="00CE4935" w:rsidRPr="002C7DC5">
        <w:rPr>
          <w:rFonts w:eastAsiaTheme="minorEastAsia"/>
        </w:rPr>
        <w:t xml:space="preserve">DOAC </w:t>
      </w:r>
      <w:r>
        <w:rPr>
          <w:rFonts w:eastAsiaTheme="minorEastAsia"/>
        </w:rPr>
        <w:t xml:space="preserve">sono </w:t>
      </w:r>
      <w:r w:rsidR="002C7DC5" w:rsidRPr="002C7DC5">
        <w:t>superio</w:t>
      </w:r>
      <w:r w:rsidR="00497DB9">
        <w:t>r</w:t>
      </w:r>
      <w:r w:rsidR="002C7DC5" w:rsidRPr="002C7DC5">
        <w:t xml:space="preserve">i a </w:t>
      </w:r>
      <w:proofErr w:type="spellStart"/>
      <w:r w:rsidR="002C7DC5" w:rsidRPr="002C7DC5">
        <w:t>warfarin</w:t>
      </w:r>
      <w:proofErr w:type="spellEnd"/>
      <w:r w:rsidR="002C7DC5" w:rsidRPr="002C7DC5">
        <w:t xml:space="preserve"> nella prevenzione di eventi</w:t>
      </w:r>
      <w:r w:rsidR="002C7DC5">
        <w:t xml:space="preserve"> tromboembolici </w:t>
      </w:r>
      <w:r w:rsidR="00CE4935" w:rsidRPr="002C7DC5">
        <w:rPr>
          <w:rFonts w:eastAsiaTheme="minorEastAsia"/>
        </w:rPr>
        <w:t>(HR, 0.86 [95% CI, 0.78-0.95])</w:t>
      </w:r>
      <w:r w:rsidR="002C7DC5">
        <w:t>.</w:t>
      </w:r>
    </w:p>
    <w:p w:rsidR="00FF2875" w:rsidRPr="002C7DC5" w:rsidRDefault="006B3A33" w:rsidP="00892B61">
      <w:pPr>
        <w:numPr>
          <w:ilvl w:val="0"/>
          <w:numId w:val="3"/>
        </w:numPr>
        <w:spacing w:before="100" w:beforeAutospacing="1" w:after="100" w:afterAutospacing="1"/>
        <w:ind w:hanging="436"/>
      </w:pPr>
      <w:r>
        <w:rPr>
          <w:rFonts w:eastAsiaTheme="minorEastAsia"/>
        </w:rPr>
        <w:t xml:space="preserve">I </w:t>
      </w:r>
      <w:r w:rsidR="00CE4935" w:rsidRPr="002C7DC5">
        <w:rPr>
          <w:rFonts w:eastAsiaTheme="minorEastAsia"/>
        </w:rPr>
        <w:t xml:space="preserve">DOAC </w:t>
      </w:r>
      <w:r w:rsidR="002C7DC5" w:rsidRPr="002C7DC5">
        <w:t>riducono il rischio di eventi emo</w:t>
      </w:r>
      <w:r w:rsidR="002C7DC5">
        <w:t>rragici</w:t>
      </w:r>
      <w:r w:rsidR="00CE4935" w:rsidRPr="002C7DC5">
        <w:rPr>
          <w:rFonts w:eastAsiaTheme="minorEastAsia"/>
        </w:rPr>
        <w:t xml:space="preserve"> (HR, 0.81 [95% CI, 0.66-0.99])</w:t>
      </w:r>
      <w:r w:rsidR="002C7DC5">
        <w:t>.</w:t>
      </w:r>
    </w:p>
    <w:p w:rsidR="00FF2875" w:rsidRPr="002C7DC5" w:rsidRDefault="002C7DC5" w:rsidP="00892B61">
      <w:pPr>
        <w:numPr>
          <w:ilvl w:val="0"/>
          <w:numId w:val="3"/>
        </w:numPr>
        <w:spacing w:before="100" w:beforeAutospacing="1" w:after="100" w:afterAutospacing="1"/>
        <w:ind w:hanging="436"/>
      </w:pPr>
      <w:proofErr w:type="spellStart"/>
      <w:r w:rsidRPr="002C7DC5">
        <w:t>Apixaban</w:t>
      </w:r>
      <w:proofErr w:type="spellEnd"/>
      <w:r w:rsidRPr="002C7DC5">
        <w:t xml:space="preserve"> </w:t>
      </w:r>
      <w:r>
        <w:t xml:space="preserve">a </w:t>
      </w:r>
      <w:r w:rsidRPr="002C7DC5">
        <w:t xml:space="preserve">dose-corretta e </w:t>
      </w:r>
      <w:proofErr w:type="spellStart"/>
      <w:r w:rsidRPr="002C7DC5">
        <w:t>edoxaban</w:t>
      </w:r>
      <w:proofErr w:type="spellEnd"/>
      <w:r w:rsidRPr="002C7DC5">
        <w:t xml:space="preserve"> </w:t>
      </w:r>
      <w:r w:rsidR="00CE4935" w:rsidRPr="002C7DC5">
        <w:rPr>
          <w:rFonts w:eastAsiaTheme="minorEastAsia"/>
        </w:rPr>
        <w:t>15-mg </w:t>
      </w:r>
      <w:r w:rsidRPr="002C7DC5">
        <w:t xml:space="preserve">sono </w:t>
      </w:r>
      <w:r w:rsidR="00CE4935" w:rsidRPr="002C7DC5">
        <w:rPr>
          <w:rFonts w:eastAsiaTheme="minorEastAsia"/>
        </w:rPr>
        <w:t>superior</w:t>
      </w:r>
      <w:r w:rsidRPr="002C7DC5">
        <w:t>i</w:t>
      </w:r>
      <w:r w:rsidR="00CE4935" w:rsidRPr="002C7DC5">
        <w:rPr>
          <w:rFonts w:eastAsiaTheme="minorEastAsia"/>
        </w:rPr>
        <w:t xml:space="preserve"> </w:t>
      </w:r>
      <w:r>
        <w:t>a tutti g</w:t>
      </w:r>
      <w:r w:rsidRPr="002C7DC5">
        <w:t xml:space="preserve">li altri </w:t>
      </w:r>
      <w:r>
        <w:t xml:space="preserve">regimi di terapia </w:t>
      </w:r>
      <w:r w:rsidRPr="002C7DC5">
        <w:t>anticoagulant</w:t>
      </w:r>
      <w:r>
        <w:t xml:space="preserve">e orale nel ridurre i sanguinamenti.  </w:t>
      </w:r>
    </w:p>
    <w:p w:rsidR="00FF2875" w:rsidRPr="00497DB9" w:rsidRDefault="002C7DC5" w:rsidP="00892B61">
      <w:pPr>
        <w:numPr>
          <w:ilvl w:val="0"/>
          <w:numId w:val="3"/>
        </w:numPr>
        <w:spacing w:before="100" w:beforeAutospacing="1" w:after="100" w:afterAutospacing="1"/>
        <w:ind w:hanging="436"/>
      </w:pPr>
      <w:proofErr w:type="spellStart"/>
      <w:r w:rsidRPr="00497DB9">
        <w:t>Apixaban</w:t>
      </w:r>
      <w:proofErr w:type="spellEnd"/>
      <w:r w:rsidRPr="00497DB9">
        <w:t xml:space="preserve"> a dose-corretta era più efficace di </w:t>
      </w:r>
      <w:proofErr w:type="spellStart"/>
      <w:r w:rsidRPr="00497DB9">
        <w:t>edoxaban</w:t>
      </w:r>
      <w:proofErr w:type="spellEnd"/>
      <w:r w:rsidRPr="00497DB9">
        <w:t xml:space="preserve"> </w:t>
      </w:r>
      <w:r w:rsidR="00497DB9" w:rsidRPr="00497DB9">
        <w:t>nella prevenzione de</w:t>
      </w:r>
      <w:r w:rsidR="00497DB9">
        <w:t>gl</w:t>
      </w:r>
      <w:r w:rsidR="00497DB9" w:rsidRPr="00497DB9">
        <w:t>i</w:t>
      </w:r>
      <w:r w:rsidR="00497DB9">
        <w:t xml:space="preserve"> eventi</w:t>
      </w:r>
      <w:r w:rsidR="00497DB9" w:rsidRPr="00497DB9">
        <w:t xml:space="preserve"> tromboemb</w:t>
      </w:r>
      <w:r w:rsidR="00497DB9">
        <w:t xml:space="preserve">olici.  </w:t>
      </w:r>
      <w:r w:rsidR="00CE4935" w:rsidRPr="00497DB9">
        <w:rPr>
          <w:rFonts w:eastAsiaTheme="minorEastAsia"/>
        </w:rPr>
        <w:t xml:space="preserve">  </w:t>
      </w:r>
    </w:p>
    <w:p w:rsidR="00497DB9" w:rsidRDefault="00CE4935" w:rsidP="00892B61">
      <w:pPr>
        <w:numPr>
          <w:ilvl w:val="0"/>
          <w:numId w:val="3"/>
        </w:numPr>
        <w:spacing w:before="100" w:beforeAutospacing="1" w:after="100" w:afterAutospacing="1"/>
        <w:ind w:hanging="436"/>
      </w:pPr>
      <w:r w:rsidRPr="00497DB9">
        <w:rPr>
          <w:rFonts w:eastAsiaTheme="minorEastAsia"/>
        </w:rPr>
        <w:t xml:space="preserve">In </w:t>
      </w:r>
      <w:r w:rsidR="00497DB9" w:rsidRPr="00497DB9">
        <w:t xml:space="preserve">pazienti dializzati affetti da FA, l’uso degli anticoagulanti orali aumentava il rischio di sanguinamenti del </w:t>
      </w:r>
      <w:r w:rsidRPr="00497DB9">
        <w:rPr>
          <w:rFonts w:eastAsiaTheme="minorEastAsia"/>
        </w:rPr>
        <w:t xml:space="preserve">28% (HR, 1.28 [95% CI, 1.03-1.60]) </w:t>
      </w:r>
      <w:r w:rsidR="00497DB9">
        <w:t>senza significativo effetto benefico rispetto a coloro che non assumevano anticoagulanti.</w:t>
      </w:r>
    </w:p>
    <w:p w:rsidR="00405C89" w:rsidRPr="006B3A33" w:rsidRDefault="002C7DC5" w:rsidP="00892B61">
      <w:pPr>
        <w:numPr>
          <w:ilvl w:val="0"/>
          <w:numId w:val="3"/>
        </w:numPr>
        <w:spacing w:before="100" w:beforeAutospacing="1" w:after="100" w:afterAutospacing="1"/>
        <w:ind w:hanging="436"/>
        <w:rPr>
          <w:b/>
          <w:color w:val="000000" w:themeColor="text1"/>
        </w:rPr>
      </w:pPr>
      <w:r w:rsidRPr="00497DB9">
        <w:rPr>
          <w:rFonts w:eastAsiaTheme="minorEastAsia"/>
          <w:bCs/>
        </w:rPr>
        <w:t>Conclusion</w:t>
      </w:r>
      <w:r w:rsidR="00497DB9" w:rsidRPr="00497DB9">
        <w:rPr>
          <w:bCs/>
        </w:rPr>
        <w:t xml:space="preserve">i: i DOAC sono superiori a </w:t>
      </w:r>
      <w:proofErr w:type="spellStart"/>
      <w:r w:rsidR="006B3A33">
        <w:rPr>
          <w:bCs/>
        </w:rPr>
        <w:t>w</w:t>
      </w:r>
      <w:r w:rsidR="00497DB9" w:rsidRPr="00497DB9">
        <w:rPr>
          <w:bCs/>
        </w:rPr>
        <w:t>arfarin</w:t>
      </w:r>
      <w:proofErr w:type="spellEnd"/>
      <w:r w:rsidR="00497DB9" w:rsidRPr="00497DB9">
        <w:rPr>
          <w:bCs/>
        </w:rPr>
        <w:t xml:space="preserve"> nella prevenzione degli eventi tromboembolici e nella riduzione del rischio emorragico nei pazienti con FA e IRC moderata. </w:t>
      </w:r>
      <w:r w:rsidRPr="006B3A33">
        <w:t>(</w:t>
      </w:r>
      <w:proofErr w:type="spellStart"/>
      <w:r w:rsidRPr="006B3A33">
        <w:rPr>
          <w:b/>
          <w:color w:val="000000" w:themeColor="text1"/>
        </w:rPr>
        <w:t>Am</w:t>
      </w:r>
      <w:proofErr w:type="spellEnd"/>
      <w:r w:rsidRPr="006B3A33">
        <w:rPr>
          <w:b/>
          <w:color w:val="000000" w:themeColor="text1"/>
        </w:rPr>
        <w:t xml:space="preserve">. J. </w:t>
      </w:r>
      <w:proofErr w:type="spellStart"/>
      <w:r w:rsidRPr="006B3A33">
        <w:rPr>
          <w:b/>
          <w:color w:val="000000" w:themeColor="text1"/>
        </w:rPr>
        <w:t>Kidney</w:t>
      </w:r>
      <w:proofErr w:type="spellEnd"/>
      <w:r w:rsidRPr="006B3A33">
        <w:rPr>
          <w:b/>
          <w:color w:val="000000" w:themeColor="text1"/>
        </w:rPr>
        <w:t xml:space="preserve"> </w:t>
      </w:r>
      <w:proofErr w:type="spellStart"/>
      <w:r w:rsidRPr="006B3A33">
        <w:rPr>
          <w:b/>
          <w:color w:val="000000" w:themeColor="text1"/>
        </w:rPr>
        <w:t>Diseases</w:t>
      </w:r>
      <w:proofErr w:type="spellEnd"/>
      <w:r w:rsidRPr="006B3A33">
        <w:rPr>
          <w:b/>
          <w:color w:val="000000" w:themeColor="text1"/>
        </w:rPr>
        <w:t xml:space="preserve">. </w:t>
      </w:r>
      <w:proofErr w:type="spellStart"/>
      <w:r w:rsidRPr="006B3A33">
        <w:rPr>
          <w:b/>
          <w:color w:val="000000" w:themeColor="text1"/>
        </w:rPr>
        <w:t>Vol</w:t>
      </w:r>
      <w:proofErr w:type="spellEnd"/>
      <w:r w:rsidRPr="006B3A33">
        <w:rPr>
          <w:b/>
          <w:color w:val="000000" w:themeColor="text1"/>
        </w:rPr>
        <w:t xml:space="preserve"> 78, </w:t>
      </w:r>
      <w:proofErr w:type="spellStart"/>
      <w:r w:rsidRPr="006B3A33">
        <w:rPr>
          <w:b/>
          <w:color w:val="000000" w:themeColor="text1"/>
        </w:rPr>
        <w:t>Issue</w:t>
      </w:r>
      <w:proofErr w:type="spellEnd"/>
      <w:r w:rsidRPr="006B3A33">
        <w:rPr>
          <w:b/>
          <w:color w:val="000000" w:themeColor="text1"/>
        </w:rPr>
        <w:t xml:space="preserve"> 5, </w:t>
      </w:r>
      <w:proofErr w:type="spellStart"/>
      <w:r w:rsidR="00340E57" w:rsidRPr="006B3A33">
        <w:rPr>
          <w:b/>
          <w:color w:val="000000" w:themeColor="text1"/>
        </w:rPr>
        <w:t>November</w:t>
      </w:r>
      <w:proofErr w:type="spellEnd"/>
      <w:r w:rsidR="00340E57" w:rsidRPr="006B3A33">
        <w:rPr>
          <w:b/>
          <w:color w:val="000000" w:themeColor="text1"/>
        </w:rPr>
        <w:t xml:space="preserve"> 2021, </w:t>
      </w:r>
      <w:proofErr w:type="spellStart"/>
      <w:r w:rsidR="00340E57" w:rsidRPr="006B3A33">
        <w:rPr>
          <w:b/>
          <w:color w:val="000000" w:themeColor="text1"/>
        </w:rPr>
        <w:t>Pages</w:t>
      </w:r>
      <w:proofErr w:type="spellEnd"/>
      <w:r w:rsidR="00340E57" w:rsidRPr="006B3A33">
        <w:rPr>
          <w:b/>
          <w:color w:val="000000" w:themeColor="text1"/>
        </w:rPr>
        <w:t xml:space="preserve"> 678-689.e1</w:t>
      </w:r>
      <w:r w:rsidRPr="006B3A33">
        <w:rPr>
          <w:b/>
          <w:color w:val="000000" w:themeColor="text1"/>
        </w:rPr>
        <w:t>)</w:t>
      </w:r>
      <w:r w:rsidR="00497DB9" w:rsidRPr="006B3A33">
        <w:rPr>
          <w:b/>
          <w:color w:val="000000" w:themeColor="text1"/>
        </w:rPr>
        <w:t>.</w:t>
      </w:r>
    </w:p>
    <w:p w:rsidR="00405C89" w:rsidRPr="002146BD" w:rsidRDefault="002146BD" w:rsidP="00171ADD">
      <w:pPr>
        <w:pStyle w:val="NormaleWeb"/>
        <w:shd w:val="clear" w:color="auto" w:fill="FFFFFF"/>
        <w:rPr>
          <w:rFonts w:ascii="AdvOT1ef757c0" w:hAnsi="AdvOT1ef757c0"/>
          <w:sz w:val="16"/>
          <w:szCs w:val="16"/>
        </w:rPr>
      </w:pPr>
      <w:r>
        <w:rPr>
          <w:color w:val="000000" w:themeColor="text1"/>
        </w:rPr>
        <w:t>Un</w:t>
      </w:r>
      <w:r w:rsidR="00405C89" w:rsidRPr="00405C89">
        <w:rPr>
          <w:color w:val="000000" w:themeColor="text1"/>
        </w:rPr>
        <w:t xml:space="preserve">’analisi </w:t>
      </w:r>
      <w:r>
        <w:rPr>
          <w:color w:val="000000" w:themeColor="text1"/>
        </w:rPr>
        <w:t xml:space="preserve">estesa </w:t>
      </w:r>
      <w:r w:rsidR="00405C89" w:rsidRPr="00405C89">
        <w:rPr>
          <w:color w:val="000000" w:themeColor="text1"/>
        </w:rPr>
        <w:t>a pazienti con IRC più avanzata o in dialisi</w:t>
      </w:r>
      <w:r>
        <w:rPr>
          <w:color w:val="000000" w:themeColor="text1"/>
        </w:rPr>
        <w:t xml:space="preserve"> ha</w:t>
      </w:r>
      <w:r w:rsidR="006B3A33">
        <w:rPr>
          <w:color w:val="000000" w:themeColor="text1"/>
        </w:rPr>
        <w:t xml:space="preserve"> </w:t>
      </w:r>
      <w:proofErr w:type="spellStart"/>
      <w:r w:rsidR="006B3A33">
        <w:rPr>
          <w:color w:val="000000" w:themeColor="text1"/>
        </w:rPr>
        <w:t>evidenza</w:t>
      </w:r>
      <w:r>
        <w:rPr>
          <w:color w:val="000000" w:themeColor="text1"/>
        </w:rPr>
        <w:t>to</w:t>
      </w:r>
      <w:proofErr w:type="spellEnd"/>
      <w:r w:rsidR="006B3A33">
        <w:rPr>
          <w:color w:val="000000" w:themeColor="text1"/>
        </w:rPr>
        <w:t xml:space="preserve"> che, </w:t>
      </w:r>
      <w:r w:rsidR="00405C89">
        <w:rPr>
          <w:color w:val="000000" w:themeColor="text1"/>
        </w:rPr>
        <w:t xml:space="preserve">mentre tutti i </w:t>
      </w:r>
      <w:proofErr w:type="spellStart"/>
      <w:r w:rsidR="00405C89">
        <w:rPr>
          <w:color w:val="000000" w:themeColor="text1"/>
        </w:rPr>
        <w:t>DOACs</w:t>
      </w:r>
      <w:proofErr w:type="spellEnd"/>
      <w:r w:rsidR="00405C89">
        <w:rPr>
          <w:color w:val="000000" w:themeColor="text1"/>
        </w:rPr>
        <w:t xml:space="preserve"> (</w:t>
      </w:r>
      <w:proofErr w:type="spellStart"/>
      <w:r w:rsidR="00405C89">
        <w:rPr>
          <w:color w:val="000000" w:themeColor="text1"/>
        </w:rPr>
        <w:t>dabigatran</w:t>
      </w:r>
      <w:proofErr w:type="spellEnd"/>
      <w:r w:rsidR="00405C89">
        <w:rPr>
          <w:color w:val="000000" w:themeColor="text1"/>
        </w:rPr>
        <w:t xml:space="preserve">, </w:t>
      </w:r>
      <w:proofErr w:type="spellStart"/>
      <w:r w:rsidR="00405C89">
        <w:rPr>
          <w:color w:val="000000" w:themeColor="text1"/>
        </w:rPr>
        <w:t>rivaroxaban</w:t>
      </w:r>
      <w:proofErr w:type="spellEnd"/>
      <w:r w:rsidR="00405C89">
        <w:rPr>
          <w:color w:val="000000" w:themeColor="text1"/>
        </w:rPr>
        <w:t xml:space="preserve"> e </w:t>
      </w:r>
      <w:proofErr w:type="spellStart"/>
      <w:r w:rsidR="00405C89">
        <w:rPr>
          <w:color w:val="000000" w:themeColor="text1"/>
        </w:rPr>
        <w:t>apixaban</w:t>
      </w:r>
      <w:proofErr w:type="spellEnd"/>
      <w:r w:rsidR="00405C89">
        <w:rPr>
          <w:color w:val="000000" w:themeColor="text1"/>
        </w:rPr>
        <w:t>) risulta</w:t>
      </w:r>
      <w:r w:rsidR="006B3A33">
        <w:rPr>
          <w:color w:val="000000" w:themeColor="text1"/>
        </w:rPr>
        <w:t>no</w:t>
      </w:r>
      <w:r w:rsidR="00405C89">
        <w:rPr>
          <w:color w:val="000000" w:themeColor="text1"/>
        </w:rPr>
        <w:t xml:space="preserve"> sovrapponibili a </w:t>
      </w:r>
      <w:proofErr w:type="spellStart"/>
      <w:r w:rsidR="00405C89">
        <w:rPr>
          <w:color w:val="000000" w:themeColor="text1"/>
        </w:rPr>
        <w:t>warfarin</w:t>
      </w:r>
      <w:proofErr w:type="spellEnd"/>
      <w:r w:rsidR="00405C89">
        <w:rPr>
          <w:color w:val="000000" w:themeColor="text1"/>
        </w:rPr>
        <w:t xml:space="preserve"> nella prevenzione del tromboembolismo, </w:t>
      </w:r>
      <w:proofErr w:type="spellStart"/>
      <w:r w:rsidR="00405C89" w:rsidRPr="00405C89">
        <w:rPr>
          <w:color w:val="000000" w:themeColor="text1"/>
        </w:rPr>
        <w:t>dabigatran</w:t>
      </w:r>
      <w:proofErr w:type="spellEnd"/>
      <w:r w:rsidR="00405C89" w:rsidRPr="00405C89">
        <w:rPr>
          <w:color w:val="000000" w:themeColor="text1"/>
        </w:rPr>
        <w:t xml:space="preserve"> e </w:t>
      </w:r>
      <w:proofErr w:type="spellStart"/>
      <w:r w:rsidR="00405C89" w:rsidRPr="00405C89">
        <w:rPr>
          <w:color w:val="000000" w:themeColor="text1"/>
        </w:rPr>
        <w:t>rivaroxaban</w:t>
      </w:r>
      <w:proofErr w:type="spellEnd"/>
      <w:r w:rsidR="00405C89" w:rsidRPr="00405C89">
        <w:rPr>
          <w:color w:val="000000" w:themeColor="text1"/>
        </w:rPr>
        <w:t xml:space="preserve"> risultano associati ad un incremento dei sanguinamenti maggiori, a differenza di </w:t>
      </w:r>
      <w:proofErr w:type="spellStart"/>
      <w:r w:rsidR="00405C89" w:rsidRPr="00405C89">
        <w:rPr>
          <w:color w:val="000000" w:themeColor="text1"/>
        </w:rPr>
        <w:t>apixaban</w:t>
      </w:r>
      <w:proofErr w:type="spellEnd"/>
      <w:r w:rsidR="00405C89">
        <w:rPr>
          <w:color w:val="000000" w:themeColor="text1"/>
        </w:rPr>
        <w:t xml:space="preserve"> (</w:t>
      </w:r>
      <w:proofErr w:type="spellStart"/>
      <w:r w:rsidR="00405C89" w:rsidRPr="00405C89">
        <w:rPr>
          <w:rFonts w:ascii="AdvOT1ef757c0" w:hAnsi="AdvOT1ef757c0"/>
          <w:b/>
        </w:rPr>
        <w:t>Nephrol</w:t>
      </w:r>
      <w:proofErr w:type="spellEnd"/>
      <w:r w:rsidR="00405C89" w:rsidRPr="00405C89">
        <w:rPr>
          <w:rFonts w:ascii="AdvOT1ef757c0" w:hAnsi="AdvOT1ef757c0"/>
          <w:b/>
        </w:rPr>
        <w:t xml:space="preserve"> </w:t>
      </w:r>
      <w:proofErr w:type="spellStart"/>
      <w:r w:rsidR="00405C89" w:rsidRPr="00405C89">
        <w:rPr>
          <w:rFonts w:ascii="AdvOT1ef757c0" w:hAnsi="AdvOT1ef757c0"/>
          <w:b/>
        </w:rPr>
        <w:t>Dial</w:t>
      </w:r>
      <w:proofErr w:type="spellEnd"/>
      <w:r w:rsidR="00405C89" w:rsidRPr="00405C89">
        <w:rPr>
          <w:rFonts w:ascii="AdvOT1ef757c0" w:hAnsi="AdvOT1ef757c0"/>
          <w:b/>
        </w:rPr>
        <w:t xml:space="preserve"> </w:t>
      </w:r>
      <w:proofErr w:type="spellStart"/>
      <w:r w:rsidR="00405C89" w:rsidRPr="00405C89">
        <w:rPr>
          <w:rFonts w:ascii="AdvOT1ef757c0" w:hAnsi="AdvOT1ef757c0"/>
          <w:b/>
        </w:rPr>
        <w:t>Transplant</w:t>
      </w:r>
      <w:proofErr w:type="spellEnd"/>
      <w:r w:rsidR="00405C89" w:rsidRPr="00405C89">
        <w:rPr>
          <w:rFonts w:ascii="AdvOT1ef757c0" w:hAnsi="AdvOT1ef757c0"/>
          <w:b/>
        </w:rPr>
        <w:t xml:space="preserve"> (2018) 1–13 </w:t>
      </w:r>
      <w:proofErr w:type="spellStart"/>
      <w:r w:rsidR="00405C89" w:rsidRPr="00405C89">
        <w:rPr>
          <w:rFonts w:ascii="AdvOT1ef757c0" w:hAnsi="AdvOT1ef757c0"/>
          <w:b/>
        </w:rPr>
        <w:t>doi</w:t>
      </w:r>
      <w:proofErr w:type="spellEnd"/>
      <w:r w:rsidR="00405C89" w:rsidRPr="00405C89">
        <w:rPr>
          <w:rFonts w:ascii="AdvOT1ef757c0" w:hAnsi="AdvOT1ef757c0"/>
          <w:b/>
        </w:rPr>
        <w:t>: 10.1093/</w:t>
      </w:r>
      <w:proofErr w:type="spellStart"/>
      <w:r w:rsidR="00405C89" w:rsidRPr="00405C89">
        <w:rPr>
          <w:rFonts w:ascii="AdvOT1ef757c0" w:hAnsi="AdvOT1ef757c0"/>
          <w:b/>
        </w:rPr>
        <w:t>ndt</w:t>
      </w:r>
      <w:proofErr w:type="spellEnd"/>
      <w:r w:rsidR="00405C89" w:rsidRPr="00405C89">
        <w:rPr>
          <w:rFonts w:ascii="AdvOT1ef757c0" w:hAnsi="AdvOT1ef757c0"/>
          <w:b/>
        </w:rPr>
        <w:t>/gfy031</w:t>
      </w:r>
      <w:r w:rsidR="00405C89">
        <w:rPr>
          <w:rFonts w:ascii="AdvOT1ef757c0" w:hAnsi="AdvOT1ef757c0"/>
        </w:rPr>
        <w:t>).</w:t>
      </w:r>
      <w:r w:rsidR="00405C89" w:rsidRPr="00405C89">
        <w:rPr>
          <w:rFonts w:ascii="AdvOT1ef757c0" w:hAnsi="AdvOT1ef757c0"/>
          <w:sz w:val="16"/>
          <w:szCs w:val="16"/>
        </w:rPr>
        <w:t xml:space="preserve"> </w:t>
      </w:r>
    </w:p>
    <w:tbl>
      <w:tblPr>
        <w:tblpPr w:leftFromText="141" w:rightFromText="141" w:vertAnchor="text" w:horzAnchor="margin" w:tblpXSpec="center" w:tblpY="37"/>
        <w:tblW w:w="881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37"/>
        <w:gridCol w:w="2937"/>
        <w:gridCol w:w="2937"/>
      </w:tblGrid>
      <w:tr w:rsidR="0013607A" w:rsidRPr="0013607A" w:rsidTr="00405C89">
        <w:trPr>
          <w:trHeight w:val="904"/>
        </w:trPr>
        <w:tc>
          <w:tcPr>
            <w:tcW w:w="29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ind w:left="268"/>
              <w:rPr>
                <w:b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rPr>
                <w:b/>
                <w:color w:val="FFFFFF" w:themeColor="background1"/>
              </w:rPr>
            </w:pPr>
            <w:r w:rsidRPr="0013607A">
              <w:rPr>
                <w:b/>
                <w:bCs/>
                <w:color w:val="FFFFFF" w:themeColor="background1"/>
              </w:rPr>
              <w:t>INCIDENZA DI STROKE</w:t>
            </w:r>
          </w:p>
        </w:tc>
        <w:tc>
          <w:tcPr>
            <w:tcW w:w="29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rPr>
                <w:b/>
                <w:color w:val="FFFFFF" w:themeColor="background1"/>
              </w:rPr>
            </w:pPr>
            <w:r w:rsidRPr="0013607A">
              <w:rPr>
                <w:b/>
                <w:bCs/>
                <w:color w:val="FFFFFF" w:themeColor="background1"/>
              </w:rPr>
              <w:t>INCIDENZA DI SANGUINAMENTI MAGGIORI</w:t>
            </w:r>
          </w:p>
        </w:tc>
      </w:tr>
      <w:tr w:rsidR="0013607A" w:rsidRPr="0013607A" w:rsidTr="0013607A">
        <w:trPr>
          <w:trHeight w:val="468"/>
        </w:trPr>
        <w:tc>
          <w:tcPr>
            <w:tcW w:w="29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5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rPr>
                <w:b/>
                <w:color w:val="000000" w:themeColor="text1"/>
              </w:rPr>
            </w:pPr>
            <w:r w:rsidRPr="0013607A">
              <w:rPr>
                <w:b/>
                <w:bCs/>
                <w:color w:val="000000" w:themeColor="text1"/>
              </w:rPr>
              <w:t>DABIGATRAN</w:t>
            </w:r>
          </w:p>
        </w:tc>
        <w:tc>
          <w:tcPr>
            <w:tcW w:w="29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39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rPr>
                <w:b/>
                <w:color w:val="000000" w:themeColor="text1"/>
              </w:rPr>
            </w:pPr>
            <w:r w:rsidRPr="0013607A">
              <w:rPr>
                <w:b/>
                <w:bCs/>
                <w:color w:val="000000" w:themeColor="text1"/>
              </w:rPr>
              <w:t>Nessuna differenza</w:t>
            </w:r>
          </w:p>
        </w:tc>
        <w:tc>
          <w:tcPr>
            <w:tcW w:w="29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4F6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rPr>
                <w:b/>
                <w:color w:val="000000" w:themeColor="text1"/>
              </w:rPr>
            </w:pPr>
            <w:r w:rsidRPr="0013607A">
              <w:rPr>
                <w:b/>
                <w:bCs/>
                <w:color w:val="000000" w:themeColor="text1"/>
              </w:rPr>
              <w:t>Maggiore rischio</w:t>
            </w:r>
          </w:p>
        </w:tc>
      </w:tr>
      <w:tr w:rsidR="0013607A" w:rsidRPr="0013607A" w:rsidTr="0013607A">
        <w:trPr>
          <w:trHeight w:val="444"/>
        </w:trPr>
        <w:tc>
          <w:tcPr>
            <w:tcW w:w="29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rPr>
                <w:b/>
                <w:color w:val="000000" w:themeColor="text1"/>
              </w:rPr>
            </w:pPr>
            <w:r w:rsidRPr="0013607A">
              <w:rPr>
                <w:b/>
                <w:bCs/>
                <w:color w:val="000000" w:themeColor="text1"/>
              </w:rPr>
              <w:t>RIVAROXABAN</w:t>
            </w:r>
          </w:p>
        </w:tc>
        <w:tc>
          <w:tcPr>
            <w:tcW w:w="29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39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rPr>
                <w:b/>
                <w:color w:val="000000" w:themeColor="text1"/>
              </w:rPr>
            </w:pPr>
            <w:r w:rsidRPr="0013607A">
              <w:rPr>
                <w:b/>
                <w:bCs/>
                <w:color w:val="000000" w:themeColor="text1"/>
              </w:rPr>
              <w:t>Nessuna differenza</w:t>
            </w:r>
          </w:p>
        </w:tc>
        <w:tc>
          <w:tcPr>
            <w:tcW w:w="29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4F6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rPr>
                <w:b/>
                <w:color w:val="000000" w:themeColor="text1"/>
              </w:rPr>
            </w:pPr>
            <w:r w:rsidRPr="0013607A">
              <w:rPr>
                <w:b/>
                <w:bCs/>
                <w:color w:val="000000" w:themeColor="text1"/>
              </w:rPr>
              <w:t>Maggiore rischio</w:t>
            </w:r>
          </w:p>
        </w:tc>
      </w:tr>
      <w:tr w:rsidR="0013607A" w:rsidRPr="0013607A" w:rsidTr="0013607A">
        <w:trPr>
          <w:trHeight w:val="482"/>
        </w:trPr>
        <w:tc>
          <w:tcPr>
            <w:tcW w:w="29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5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rPr>
                <w:b/>
                <w:color w:val="000000" w:themeColor="text1"/>
              </w:rPr>
            </w:pPr>
            <w:r w:rsidRPr="0013607A">
              <w:rPr>
                <w:b/>
                <w:bCs/>
                <w:color w:val="000000" w:themeColor="text1"/>
              </w:rPr>
              <w:t>APIXABAN</w:t>
            </w:r>
          </w:p>
        </w:tc>
        <w:tc>
          <w:tcPr>
            <w:tcW w:w="29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39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rPr>
                <w:b/>
                <w:color w:val="000000" w:themeColor="text1"/>
              </w:rPr>
            </w:pPr>
            <w:r w:rsidRPr="0013607A">
              <w:rPr>
                <w:b/>
                <w:bCs/>
                <w:color w:val="000000" w:themeColor="text1"/>
              </w:rPr>
              <w:t>Nessuna differenza</w:t>
            </w:r>
          </w:p>
        </w:tc>
        <w:tc>
          <w:tcPr>
            <w:tcW w:w="29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E39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607A" w:rsidRPr="0013607A" w:rsidRDefault="0013607A" w:rsidP="00171ADD">
            <w:pPr>
              <w:rPr>
                <w:b/>
                <w:color w:val="000000" w:themeColor="text1"/>
              </w:rPr>
            </w:pPr>
            <w:r w:rsidRPr="0013607A">
              <w:rPr>
                <w:b/>
                <w:bCs/>
                <w:color w:val="000000" w:themeColor="text1"/>
              </w:rPr>
              <w:t>Nessuna differenza</w:t>
            </w:r>
          </w:p>
        </w:tc>
      </w:tr>
    </w:tbl>
    <w:p w:rsidR="002146BD" w:rsidRDefault="002146BD" w:rsidP="00171ADD">
      <w:pPr>
        <w:spacing w:before="100" w:beforeAutospacing="1" w:after="100" w:afterAutospacing="1"/>
      </w:pPr>
    </w:p>
    <w:p w:rsidR="00405C89" w:rsidRDefault="00405C89" w:rsidP="00171ADD">
      <w:pPr>
        <w:spacing w:before="100" w:beforeAutospacing="1" w:after="100" w:afterAutospacing="1"/>
      </w:pPr>
      <w:r w:rsidRPr="00405C89">
        <w:t>Quindi l’</w:t>
      </w:r>
      <w:proofErr w:type="spellStart"/>
      <w:r w:rsidRPr="00405C89">
        <w:t>apixaban</w:t>
      </w:r>
      <w:proofErr w:type="spellEnd"/>
      <w:r w:rsidRPr="00405C89">
        <w:t xml:space="preserve"> ha un profilo di sicurezza migliore</w:t>
      </w:r>
      <w:r w:rsidR="002146BD">
        <w:t>. Tale dato è stato confermato</w:t>
      </w:r>
      <w:r w:rsidRPr="00405C89">
        <w:t xml:space="preserve"> </w:t>
      </w:r>
      <w:r w:rsidR="002146BD">
        <w:t>da</w:t>
      </w:r>
      <w:r w:rsidRPr="00405C89">
        <w:t xml:space="preserve"> </w:t>
      </w:r>
      <w:r>
        <w:t>uno</w:t>
      </w:r>
      <w:r w:rsidRPr="00405C89">
        <w:t xml:space="preserve"> studio retrospettivo </w:t>
      </w:r>
      <w:r w:rsidR="002146BD">
        <w:t xml:space="preserve">condotto in un </w:t>
      </w:r>
      <w:proofErr w:type="spellStart"/>
      <w:r w:rsidR="002146BD">
        <w:t>setting</w:t>
      </w:r>
      <w:proofErr w:type="spellEnd"/>
      <w:r w:rsidR="002146BD">
        <w:t xml:space="preserve"> differente, ossia </w:t>
      </w:r>
      <w:r w:rsidRPr="00405C89">
        <w:t xml:space="preserve">in pazienti </w:t>
      </w:r>
      <w:r>
        <w:t xml:space="preserve">dializzati </w:t>
      </w:r>
      <w:r w:rsidR="002146BD">
        <w:t>sottoposti a TAO per la</w:t>
      </w:r>
      <w:r w:rsidRPr="00405C89">
        <w:t xml:space="preserve"> prevenzione del trombo</w:t>
      </w:r>
      <w:r w:rsidR="002146BD">
        <w:t>-</w:t>
      </w:r>
      <w:r w:rsidRPr="00405C89">
        <w:t>embolismo venoso (VTE)</w:t>
      </w:r>
      <w:r w:rsidR="002146BD">
        <w:t>. Lo</w:t>
      </w:r>
      <w:r>
        <w:t xml:space="preserve"> studio dimostrò </w:t>
      </w:r>
      <w:r w:rsidR="002146BD">
        <w:t>non solo</w:t>
      </w:r>
      <w:r w:rsidRPr="00405C89">
        <w:t xml:space="preserve"> </w:t>
      </w:r>
      <w:r w:rsidR="002146BD">
        <w:t xml:space="preserve">una </w:t>
      </w:r>
      <w:r w:rsidRPr="00405C89">
        <w:t xml:space="preserve">riduzione dei sanguinamenti maggiori </w:t>
      </w:r>
      <w:r w:rsidR="002146BD">
        <w:t xml:space="preserve">ma anche una riduzione </w:t>
      </w:r>
      <w:r w:rsidRPr="00405C89">
        <w:t>delle</w:t>
      </w:r>
      <w:r>
        <w:t xml:space="preserve"> ricorrenze di </w:t>
      </w:r>
      <w:r w:rsidRPr="00405C89">
        <w:t>VTE</w:t>
      </w:r>
      <w:r>
        <w:t xml:space="preserve"> (</w:t>
      </w:r>
      <w:r w:rsidRPr="00405C89">
        <w:rPr>
          <w:b/>
          <w:bCs/>
          <w:iCs/>
        </w:rPr>
        <w:t xml:space="preserve">CJASN 17: 693–702, </w:t>
      </w:r>
      <w:proofErr w:type="spellStart"/>
      <w:r w:rsidRPr="00405C89">
        <w:rPr>
          <w:b/>
          <w:bCs/>
          <w:iCs/>
        </w:rPr>
        <w:t>May</w:t>
      </w:r>
      <w:proofErr w:type="spellEnd"/>
      <w:r w:rsidRPr="00405C89">
        <w:rPr>
          <w:b/>
          <w:bCs/>
          <w:iCs/>
        </w:rPr>
        <w:t>, 2022</w:t>
      </w:r>
      <w:r>
        <w:t>).</w:t>
      </w:r>
    </w:p>
    <w:p w:rsidR="00CE4935" w:rsidRDefault="002146BD" w:rsidP="00171ADD">
      <w:pPr>
        <w:pStyle w:val="NormaleWeb"/>
        <w:spacing w:before="0" w:beforeAutospacing="0" w:after="0" w:afterAutospacing="0"/>
      </w:pPr>
      <w:r>
        <w:t>Purtroppo</w:t>
      </w:r>
      <w:r w:rsidR="00CE4935" w:rsidRPr="00CE4935">
        <w:t xml:space="preserve"> non disponiamo di dati </w:t>
      </w:r>
      <w:r>
        <w:t xml:space="preserve">consistenti </w:t>
      </w:r>
      <w:r w:rsidR="00CE4935" w:rsidRPr="00CE4935">
        <w:t>provenienti da trial randomizzati. Gli unici due trial</w:t>
      </w:r>
      <w:r>
        <w:t xml:space="preserve"> disponibili (</w:t>
      </w:r>
      <w:r w:rsidRPr="00CE4935">
        <w:rPr>
          <w:b/>
          <w:bCs/>
          <w:color w:val="000000" w:themeColor="text1"/>
        </w:rPr>
        <w:t>RENAL-AF trial</w:t>
      </w:r>
      <w:r>
        <w:t>.</w:t>
      </w:r>
      <w:r w:rsidRPr="00CE4935">
        <w:t xml:space="preserve"> </w:t>
      </w:r>
      <w:proofErr w:type="spellStart"/>
      <w:r w:rsidRPr="00CE4935">
        <w:rPr>
          <w:b/>
          <w:bCs/>
          <w:iCs/>
          <w:color w:val="000000" w:themeColor="text1"/>
        </w:rPr>
        <w:t>Circulation</w:t>
      </w:r>
      <w:proofErr w:type="spellEnd"/>
      <w:r w:rsidRPr="00CE4935">
        <w:rPr>
          <w:b/>
          <w:bCs/>
          <w:iCs/>
          <w:color w:val="000000" w:themeColor="text1"/>
        </w:rPr>
        <w:t xml:space="preserve"> 2022</w:t>
      </w:r>
      <w:r>
        <w:rPr>
          <w:b/>
          <w:bCs/>
          <w:iCs/>
          <w:color w:val="000000" w:themeColor="text1"/>
        </w:rPr>
        <w:t xml:space="preserve">; </w:t>
      </w:r>
      <w:r w:rsidRPr="00CE4935">
        <w:rPr>
          <w:b/>
          <w:bCs/>
          <w:color w:val="000000" w:themeColor="text1"/>
        </w:rPr>
        <w:t xml:space="preserve">AXADIA-AFNET 8 </w:t>
      </w:r>
      <w:proofErr w:type="spellStart"/>
      <w:r w:rsidRPr="00CE4935">
        <w:rPr>
          <w:b/>
          <w:bCs/>
          <w:color w:val="000000" w:themeColor="text1"/>
        </w:rPr>
        <w:t>Study</w:t>
      </w:r>
      <w:proofErr w:type="spellEnd"/>
      <w:r>
        <w:rPr>
          <w:b/>
          <w:bCs/>
          <w:color w:val="000000" w:themeColor="text1"/>
        </w:rPr>
        <w:t>.</w:t>
      </w:r>
      <w:r w:rsidRPr="00CE4935">
        <w:t xml:space="preserve"> </w:t>
      </w:r>
      <w:proofErr w:type="spellStart"/>
      <w:r w:rsidRPr="00CE4935">
        <w:rPr>
          <w:b/>
          <w:bCs/>
          <w:iCs/>
          <w:color w:val="000000" w:themeColor="text1"/>
        </w:rPr>
        <w:t>Circulation</w:t>
      </w:r>
      <w:proofErr w:type="spellEnd"/>
      <w:r w:rsidRPr="00CE4935">
        <w:rPr>
          <w:b/>
          <w:bCs/>
          <w:iCs/>
          <w:color w:val="000000" w:themeColor="text1"/>
        </w:rPr>
        <w:t xml:space="preserve"> 2023</w:t>
      </w:r>
      <w:r>
        <w:rPr>
          <w:b/>
          <w:bCs/>
          <w:iCs/>
          <w:color w:val="000000" w:themeColor="text1"/>
        </w:rPr>
        <w:t xml:space="preserve">) </w:t>
      </w:r>
      <w:r w:rsidR="00CE4935" w:rsidRPr="00CE4935">
        <w:t xml:space="preserve">hanno </w:t>
      </w:r>
      <w:r w:rsidR="008C1FDD">
        <w:t>mostrato</w:t>
      </w:r>
      <w:r w:rsidR="00CE4935" w:rsidRPr="00CE4935">
        <w:t xml:space="preserve"> risultati neutri</w:t>
      </w:r>
      <w:r>
        <w:t>, ma sono di dimensioni troppo esigue perché se ne possano trarre conclusioni</w:t>
      </w:r>
      <w:r w:rsidR="005E17A7">
        <w:t xml:space="preserve"> certe</w:t>
      </w:r>
      <w:r w:rsidR="00CE4935" w:rsidRPr="00CE4935">
        <w:t>.</w:t>
      </w:r>
    </w:p>
    <w:p w:rsidR="005E17A7" w:rsidRDefault="005E17A7" w:rsidP="00171ADD">
      <w:pPr>
        <w:pStyle w:val="NormaleWeb"/>
        <w:spacing w:before="0" w:beforeAutospacing="0" w:after="0" w:afterAutospacing="0"/>
      </w:pPr>
    </w:p>
    <w:p w:rsidR="00CE4935" w:rsidRPr="009F1FAB" w:rsidRDefault="00CE4935" w:rsidP="00171ADD">
      <w:pPr>
        <w:pStyle w:val="NormaleWeb"/>
        <w:spacing w:before="0" w:beforeAutospacing="0" w:after="0" w:afterAutospacing="0"/>
        <w:rPr>
          <w:lang w:val="en-US"/>
        </w:rPr>
      </w:pPr>
      <w:r w:rsidRPr="009F1FAB">
        <w:rPr>
          <w:b/>
          <w:bCs/>
          <w:color w:val="000000" w:themeColor="text1"/>
          <w:lang w:val="en-US"/>
        </w:rPr>
        <w:t>RENAL-AF trial</w:t>
      </w:r>
      <w:r w:rsidRPr="009F1FAB">
        <w:rPr>
          <w:lang w:val="en-US"/>
        </w:rPr>
        <w:t xml:space="preserve">. </w:t>
      </w:r>
      <w:r w:rsidRPr="009F1FAB">
        <w:rPr>
          <w:b/>
          <w:bCs/>
          <w:iCs/>
          <w:color w:val="000000" w:themeColor="text1"/>
          <w:lang w:val="en-US"/>
        </w:rPr>
        <w:t>Circulation 2022</w:t>
      </w:r>
    </w:p>
    <w:p w:rsidR="00CE4935" w:rsidRPr="009F1FAB" w:rsidRDefault="00CE4935" w:rsidP="00171ADD">
      <w:pPr>
        <w:spacing w:before="100" w:beforeAutospacing="1" w:after="100" w:afterAutospacing="1"/>
        <w:rPr>
          <w:lang w:val="en-US"/>
        </w:rPr>
      </w:pPr>
      <w:r w:rsidRPr="00CE4935">
        <w:rPr>
          <w:noProof/>
        </w:rPr>
        <w:drawing>
          <wp:anchor distT="0" distB="0" distL="114300" distR="114300" simplePos="0" relativeHeight="251659264" behindDoc="0" locked="0" layoutInCell="1" allowOverlap="1" wp14:anchorId="74185883" wp14:editId="6F8AB607">
            <wp:simplePos x="0" y="0"/>
            <wp:positionH relativeFrom="column">
              <wp:posOffset>-8255</wp:posOffset>
            </wp:positionH>
            <wp:positionV relativeFrom="paragraph">
              <wp:posOffset>94404</wp:posOffset>
            </wp:positionV>
            <wp:extent cx="5372669" cy="2808312"/>
            <wp:effectExtent l="12700" t="12700" r="12700" b="11430"/>
            <wp:wrapNone/>
            <wp:docPr id="4" name="Immagin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154E8C-BD9A-2548-98F8-DC70937E0E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154E8C-BD9A-2548-98F8-DC70937E0E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669" cy="280831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935" w:rsidRPr="009F1FAB" w:rsidRDefault="00CE4935" w:rsidP="00171ADD">
      <w:pPr>
        <w:spacing w:before="100" w:beforeAutospacing="1" w:after="100" w:afterAutospacing="1"/>
        <w:rPr>
          <w:lang w:val="en-US"/>
        </w:rPr>
      </w:pPr>
    </w:p>
    <w:p w:rsidR="00CE4935" w:rsidRPr="009F1FAB" w:rsidRDefault="00CE4935" w:rsidP="00171ADD">
      <w:pPr>
        <w:spacing w:before="100" w:beforeAutospacing="1" w:after="100" w:afterAutospacing="1"/>
        <w:rPr>
          <w:lang w:val="en-US"/>
        </w:rPr>
      </w:pPr>
    </w:p>
    <w:p w:rsidR="00CE4935" w:rsidRPr="009F1FAB" w:rsidRDefault="00CE4935" w:rsidP="00171ADD">
      <w:pPr>
        <w:spacing w:before="100" w:beforeAutospacing="1" w:after="100" w:afterAutospacing="1"/>
        <w:rPr>
          <w:lang w:val="en-US"/>
        </w:rPr>
      </w:pPr>
    </w:p>
    <w:p w:rsidR="00CE4935" w:rsidRPr="009F1FAB" w:rsidRDefault="00CE4935" w:rsidP="00171ADD">
      <w:pPr>
        <w:spacing w:before="100" w:beforeAutospacing="1" w:after="100" w:afterAutospacing="1"/>
        <w:rPr>
          <w:lang w:val="en-US"/>
        </w:rPr>
      </w:pPr>
    </w:p>
    <w:p w:rsidR="00CE4935" w:rsidRPr="009F1FAB" w:rsidRDefault="00CE4935" w:rsidP="00171ADD">
      <w:pPr>
        <w:spacing w:before="100" w:beforeAutospacing="1" w:after="100" w:afterAutospacing="1"/>
        <w:rPr>
          <w:lang w:val="en-US"/>
        </w:rPr>
      </w:pPr>
    </w:p>
    <w:p w:rsidR="00CE4935" w:rsidRPr="009F1FAB" w:rsidRDefault="00CE4935" w:rsidP="00171ADD">
      <w:pPr>
        <w:spacing w:before="100" w:beforeAutospacing="1" w:after="100" w:afterAutospacing="1"/>
        <w:rPr>
          <w:lang w:val="en-US"/>
        </w:rPr>
      </w:pPr>
    </w:p>
    <w:p w:rsidR="00FC3147" w:rsidRPr="009F1FAB" w:rsidRDefault="00FC3147" w:rsidP="00171ADD">
      <w:pPr>
        <w:spacing w:before="100" w:beforeAutospacing="1" w:after="100" w:afterAutospacing="1"/>
        <w:rPr>
          <w:lang w:val="en-US"/>
        </w:rPr>
      </w:pPr>
    </w:p>
    <w:p w:rsidR="002146BD" w:rsidRPr="009F1FAB" w:rsidRDefault="002146BD" w:rsidP="00171ADD">
      <w:pPr>
        <w:pStyle w:val="NormaleWeb"/>
        <w:spacing w:before="0" w:beforeAutospacing="0" w:after="0" w:afterAutospacing="0"/>
        <w:rPr>
          <w:b/>
          <w:bCs/>
          <w:color w:val="000000" w:themeColor="text1"/>
          <w:lang w:val="en-US"/>
        </w:rPr>
      </w:pPr>
    </w:p>
    <w:p w:rsidR="00AD02C1" w:rsidRDefault="00AD02C1" w:rsidP="00171ADD">
      <w:pPr>
        <w:pStyle w:val="NormaleWeb"/>
        <w:spacing w:before="0" w:beforeAutospacing="0" w:after="0" w:afterAutospacing="0"/>
        <w:rPr>
          <w:b/>
          <w:bCs/>
          <w:color w:val="000000" w:themeColor="text1"/>
          <w:lang w:val="en-US"/>
        </w:rPr>
      </w:pPr>
    </w:p>
    <w:p w:rsidR="00AD02C1" w:rsidRDefault="00AD02C1" w:rsidP="00171ADD">
      <w:pPr>
        <w:pStyle w:val="NormaleWeb"/>
        <w:spacing w:before="0" w:beforeAutospacing="0" w:after="0" w:afterAutospacing="0"/>
        <w:rPr>
          <w:b/>
          <w:bCs/>
          <w:color w:val="000000" w:themeColor="text1"/>
          <w:lang w:val="en-US"/>
        </w:rPr>
      </w:pPr>
    </w:p>
    <w:p w:rsidR="002146BD" w:rsidRDefault="002146BD" w:rsidP="00171ADD">
      <w:pPr>
        <w:pStyle w:val="NormaleWeb"/>
        <w:spacing w:before="0" w:beforeAutospacing="0" w:after="0" w:afterAutospacing="0"/>
        <w:rPr>
          <w:b/>
          <w:bCs/>
          <w:iCs/>
          <w:color w:val="000000" w:themeColor="text1"/>
        </w:rPr>
      </w:pPr>
      <w:r w:rsidRPr="009F1FAB">
        <w:rPr>
          <w:b/>
          <w:bCs/>
          <w:color w:val="000000" w:themeColor="text1"/>
          <w:lang w:val="en-US"/>
        </w:rPr>
        <w:t>AXADIA-AFNET 8 Study.</w:t>
      </w:r>
      <w:r w:rsidRPr="009F1FAB">
        <w:rPr>
          <w:lang w:val="en-US"/>
        </w:rPr>
        <w:t xml:space="preserve"> </w:t>
      </w:r>
      <w:proofErr w:type="spellStart"/>
      <w:r w:rsidRPr="00CE4935">
        <w:rPr>
          <w:b/>
          <w:bCs/>
          <w:iCs/>
          <w:color w:val="000000" w:themeColor="text1"/>
        </w:rPr>
        <w:t>Circulation</w:t>
      </w:r>
      <w:proofErr w:type="spellEnd"/>
      <w:r w:rsidRPr="00CE4935">
        <w:rPr>
          <w:b/>
          <w:bCs/>
          <w:iCs/>
          <w:color w:val="000000" w:themeColor="text1"/>
        </w:rPr>
        <w:t xml:space="preserve"> 2023</w:t>
      </w:r>
    </w:p>
    <w:p w:rsidR="00FC3147" w:rsidRDefault="00FC3147" w:rsidP="00171ADD">
      <w:pPr>
        <w:spacing w:before="100" w:beforeAutospacing="1" w:after="100" w:afterAutospacing="1"/>
      </w:pPr>
      <w:r w:rsidRPr="00CE4935">
        <w:rPr>
          <w:noProof/>
        </w:rPr>
        <w:drawing>
          <wp:anchor distT="0" distB="0" distL="114300" distR="114300" simplePos="0" relativeHeight="251662336" behindDoc="0" locked="0" layoutInCell="1" allowOverlap="1" wp14:anchorId="6994B646" wp14:editId="09219112">
            <wp:simplePos x="0" y="0"/>
            <wp:positionH relativeFrom="column">
              <wp:posOffset>8255</wp:posOffset>
            </wp:positionH>
            <wp:positionV relativeFrom="paragraph">
              <wp:posOffset>177165</wp:posOffset>
            </wp:positionV>
            <wp:extent cx="5176960" cy="4750534"/>
            <wp:effectExtent l="12700" t="12700" r="17780" b="12065"/>
            <wp:wrapNone/>
            <wp:docPr id="6" name="Immagin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295CBE-F623-234C-9EB0-6C07A6EE2F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295CBE-F623-234C-9EB0-6C07A6EE2F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960" cy="475053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FC3147" w:rsidRDefault="00FC3147" w:rsidP="00171ADD">
      <w:pPr>
        <w:spacing w:before="100" w:beforeAutospacing="1" w:after="100" w:afterAutospacing="1"/>
      </w:pPr>
    </w:p>
    <w:p w:rsidR="00FC3147" w:rsidRDefault="00FC3147" w:rsidP="00171ADD">
      <w:pPr>
        <w:spacing w:before="100" w:beforeAutospacing="1" w:after="100" w:afterAutospacing="1"/>
      </w:pPr>
    </w:p>
    <w:p w:rsidR="00FC3147" w:rsidRDefault="00FC3147" w:rsidP="00171ADD">
      <w:pPr>
        <w:spacing w:before="100" w:beforeAutospacing="1" w:after="100" w:afterAutospacing="1"/>
      </w:pPr>
    </w:p>
    <w:p w:rsidR="00FC3147" w:rsidRDefault="00FC3147" w:rsidP="00171ADD">
      <w:pPr>
        <w:spacing w:before="100" w:beforeAutospacing="1" w:after="100" w:afterAutospacing="1"/>
      </w:pPr>
    </w:p>
    <w:p w:rsidR="00FC3147" w:rsidRDefault="00FC3147" w:rsidP="00171ADD">
      <w:pPr>
        <w:spacing w:before="100" w:beforeAutospacing="1" w:after="100" w:afterAutospacing="1"/>
      </w:pPr>
    </w:p>
    <w:p w:rsidR="00FC3147" w:rsidRDefault="00FC3147" w:rsidP="00171ADD">
      <w:pPr>
        <w:spacing w:before="100" w:beforeAutospacing="1" w:after="100" w:afterAutospacing="1"/>
      </w:pPr>
    </w:p>
    <w:p w:rsidR="00FC3147" w:rsidRDefault="00FC3147" w:rsidP="00171ADD">
      <w:pPr>
        <w:spacing w:before="100" w:beforeAutospacing="1" w:after="100" w:afterAutospacing="1"/>
      </w:pPr>
    </w:p>
    <w:p w:rsidR="00FC3147" w:rsidRDefault="00FC3147" w:rsidP="00171ADD">
      <w:pPr>
        <w:spacing w:before="100" w:beforeAutospacing="1" w:after="100" w:afterAutospacing="1"/>
      </w:pPr>
    </w:p>
    <w:p w:rsidR="00FC3147" w:rsidRDefault="00FC3147" w:rsidP="00171ADD">
      <w:pPr>
        <w:spacing w:before="100" w:beforeAutospacing="1" w:after="100" w:afterAutospacing="1"/>
      </w:pPr>
    </w:p>
    <w:p w:rsidR="005E17A7" w:rsidRDefault="005E17A7" w:rsidP="00171ADD">
      <w:pPr>
        <w:spacing w:before="100" w:beforeAutospacing="1" w:after="100" w:afterAutospacing="1"/>
      </w:pPr>
    </w:p>
    <w:p w:rsidR="005E17A7" w:rsidRDefault="005E17A7" w:rsidP="00171ADD">
      <w:pPr>
        <w:spacing w:before="100" w:beforeAutospacing="1" w:after="100" w:afterAutospacing="1"/>
      </w:pPr>
    </w:p>
    <w:p w:rsidR="005E17A7" w:rsidRDefault="005E17A7" w:rsidP="00171ADD">
      <w:pPr>
        <w:spacing w:before="100" w:beforeAutospacing="1" w:after="100" w:afterAutospacing="1"/>
      </w:pPr>
    </w:p>
    <w:p w:rsidR="00FC3147" w:rsidRDefault="00FC3147" w:rsidP="00171ADD">
      <w:pPr>
        <w:spacing w:before="100" w:beforeAutospacing="1" w:after="100" w:afterAutospacing="1"/>
      </w:pPr>
    </w:p>
    <w:p w:rsidR="00AD02C1" w:rsidRDefault="00AD02C1" w:rsidP="00171ADD">
      <w:pPr>
        <w:spacing w:before="100" w:beforeAutospacing="1" w:after="100" w:afterAutospacing="1"/>
      </w:pPr>
    </w:p>
    <w:p w:rsidR="004B1DF9" w:rsidRDefault="004B1DF9" w:rsidP="00171ADD">
      <w:pPr>
        <w:spacing w:before="100" w:beforeAutospacing="1" w:after="100" w:afterAutospacing="1"/>
      </w:pPr>
      <w:r>
        <w:t>Alcuni d</w:t>
      </w:r>
      <w:r w:rsidRPr="00FC3147">
        <w:t xml:space="preserve">ati </w:t>
      </w:r>
      <w:r>
        <w:t>interessanti</w:t>
      </w:r>
      <w:r w:rsidRPr="00FC3147">
        <w:t xml:space="preserve"> provengono dai registri. </w:t>
      </w:r>
      <w:r>
        <w:t xml:space="preserve">Un recente e ampio </w:t>
      </w:r>
      <w:r w:rsidRPr="00FC3147">
        <w:t xml:space="preserve">registro coreano </w:t>
      </w:r>
      <w:r>
        <w:t>(</w:t>
      </w:r>
      <w:r w:rsidRPr="00FC3147">
        <w:rPr>
          <w:b/>
          <w:iCs/>
          <w:color w:val="191919"/>
        </w:rPr>
        <w:t xml:space="preserve">Front. Med. </w:t>
      </w:r>
      <w:r w:rsidRPr="00FC3147">
        <w:rPr>
          <w:b/>
          <w:color w:val="191919"/>
        </w:rPr>
        <w:t>10:</w:t>
      </w:r>
      <w:r>
        <w:rPr>
          <w:b/>
          <w:color w:val="191919"/>
        </w:rPr>
        <w:t xml:space="preserve"> </w:t>
      </w:r>
      <w:proofErr w:type="spellStart"/>
      <w:r w:rsidRPr="00FC3147">
        <w:rPr>
          <w:b/>
          <w:color w:val="191919"/>
        </w:rPr>
        <w:t>doi</w:t>
      </w:r>
      <w:proofErr w:type="spellEnd"/>
      <w:r w:rsidRPr="00FC3147">
        <w:rPr>
          <w:b/>
          <w:color w:val="191919"/>
        </w:rPr>
        <w:t>: 10.3389/fmed.2023.1212816</w:t>
      </w:r>
      <w:r>
        <w:rPr>
          <w:color w:val="191919"/>
        </w:rPr>
        <w:t xml:space="preserve">) </w:t>
      </w:r>
      <w:r>
        <w:t>mostra</w:t>
      </w:r>
      <w:r w:rsidRPr="00FC3147">
        <w:t xml:space="preserve"> una riduzione significativa della mortalità con DOAC, sostanzialmente in tutti i sottogruppi</w:t>
      </w:r>
      <w:r w:rsidR="005E17A7">
        <w:t>,</w:t>
      </w:r>
      <w:r w:rsidRPr="00FC3147">
        <w:t xml:space="preserve"> </w:t>
      </w:r>
      <w:r>
        <w:t>inclusi i pazienti sottoposti a dialisi</w:t>
      </w:r>
      <w:r w:rsidRPr="00FC3147">
        <w:t xml:space="preserve">. </w:t>
      </w:r>
      <w:r>
        <w:t>I DOAC erano analizzati cumulativamente (</w:t>
      </w:r>
      <w:proofErr w:type="spellStart"/>
      <w:r w:rsidRPr="00FC3147">
        <w:t>apixaban</w:t>
      </w:r>
      <w:proofErr w:type="spellEnd"/>
      <w:r w:rsidRPr="00FC3147">
        <w:t xml:space="preserve">, </w:t>
      </w:r>
      <w:proofErr w:type="spellStart"/>
      <w:r w:rsidRPr="00FC3147">
        <w:t>rivaroxaban</w:t>
      </w:r>
      <w:proofErr w:type="spellEnd"/>
      <w:r w:rsidRPr="00FC3147">
        <w:t xml:space="preserve"> e </w:t>
      </w:r>
      <w:proofErr w:type="spellStart"/>
      <w:r w:rsidRPr="00FC3147">
        <w:t>edoxaban</w:t>
      </w:r>
      <w:proofErr w:type="spellEnd"/>
      <w:r w:rsidRPr="00FC3147">
        <w:t>, con i due dosaggi</w:t>
      </w:r>
      <w:r>
        <w:t>)</w:t>
      </w:r>
      <w:r w:rsidR="005E17A7">
        <w:t xml:space="preserve"> e</w:t>
      </w:r>
      <w:r>
        <w:t xml:space="preserve"> n</w:t>
      </w:r>
      <w:r w:rsidRPr="00FC3147">
        <w:t>on sono riportati i risultati differenziati per farmaco</w:t>
      </w:r>
      <w:r>
        <w:t>; non so</w:t>
      </w:r>
      <w:r w:rsidR="00AD02C1">
        <w:t>n</w:t>
      </w:r>
      <w:r>
        <w:t xml:space="preserve">o riportati dati con </w:t>
      </w:r>
      <w:proofErr w:type="spellStart"/>
      <w:r>
        <w:t>dabigatran</w:t>
      </w:r>
      <w:proofErr w:type="spellEnd"/>
      <w:r>
        <w:t>, evidentemente in conseguenza della cinetica di eliminazione prevalentemente renale, che lo rende improponibile nei pazienti con INR avanzata.</w:t>
      </w:r>
    </w:p>
    <w:p w:rsidR="00F36806" w:rsidRDefault="005E17A7" w:rsidP="00171ADD">
      <w:pPr>
        <w:spacing w:before="100" w:beforeAutospacing="1" w:after="100" w:afterAutospacing="1"/>
      </w:pPr>
      <w:r>
        <w:t>U</w:t>
      </w:r>
      <w:r w:rsidR="004D3A5B">
        <w:t>no studio sui dati Medicare (</w:t>
      </w:r>
      <w:proofErr w:type="spellStart"/>
      <w:r w:rsidR="004D3A5B" w:rsidRPr="004D3A5B">
        <w:rPr>
          <w:b/>
          <w:bCs/>
          <w:iCs/>
        </w:rPr>
        <w:t>Circulation</w:t>
      </w:r>
      <w:proofErr w:type="spellEnd"/>
      <w:r w:rsidR="004D3A5B" w:rsidRPr="004D3A5B">
        <w:rPr>
          <w:b/>
          <w:bCs/>
          <w:iCs/>
        </w:rPr>
        <w:t xml:space="preserve"> 2018 </w:t>
      </w:r>
      <w:proofErr w:type="spellStart"/>
      <w:r w:rsidR="004D3A5B" w:rsidRPr="004D3A5B">
        <w:rPr>
          <w:b/>
          <w:bCs/>
          <w:iCs/>
        </w:rPr>
        <w:t>October</w:t>
      </w:r>
      <w:proofErr w:type="spellEnd"/>
      <w:r w:rsidR="004D3A5B" w:rsidRPr="004D3A5B">
        <w:rPr>
          <w:b/>
          <w:bCs/>
          <w:iCs/>
        </w:rPr>
        <w:t xml:space="preserve"> 09; 138(15): 1519–1529</w:t>
      </w:r>
      <w:r w:rsidR="004D3A5B">
        <w:t>)</w:t>
      </w:r>
      <w:r>
        <w:t xml:space="preserve"> ha</w:t>
      </w:r>
      <w:r w:rsidR="004D3A5B">
        <w:t xml:space="preserve"> analizzat</w:t>
      </w:r>
      <w:r>
        <w:t>o</w:t>
      </w:r>
      <w:r w:rsidR="004D3A5B" w:rsidRPr="004D3A5B">
        <w:t xml:space="preserve"> </w:t>
      </w:r>
      <w:r w:rsidR="00F36806">
        <w:t xml:space="preserve">retrospettivamente </w:t>
      </w:r>
      <w:r w:rsidR="00574B50" w:rsidRPr="00F36806">
        <w:t>25</w:t>
      </w:r>
      <w:r>
        <w:t>.</w:t>
      </w:r>
      <w:r w:rsidR="00574B50" w:rsidRPr="00F36806">
        <w:t>523 p</w:t>
      </w:r>
      <w:r w:rsidR="00F36806">
        <w:t>azienti con FA e IRC</w:t>
      </w:r>
      <w:r w:rsidR="00574B50" w:rsidRPr="00F36806">
        <w:t xml:space="preserve"> in </w:t>
      </w:r>
      <w:r w:rsidR="00F36806">
        <w:t xml:space="preserve">fase </w:t>
      </w:r>
      <w:r w:rsidR="00574B50" w:rsidRPr="00F36806">
        <w:t>diali</w:t>
      </w:r>
      <w:r w:rsidR="00F36806">
        <w:t xml:space="preserve">tica, di cui </w:t>
      </w:r>
      <w:r w:rsidR="00574B50" w:rsidRPr="00F36806">
        <w:t>2</w:t>
      </w:r>
      <w:r>
        <w:t>.</w:t>
      </w:r>
      <w:r w:rsidR="00574B50" w:rsidRPr="00F36806">
        <w:t xml:space="preserve">351 </w:t>
      </w:r>
      <w:r w:rsidR="00F36806">
        <w:t xml:space="preserve">trattati </w:t>
      </w:r>
      <w:proofErr w:type="spellStart"/>
      <w:r w:rsidR="00574B50" w:rsidRPr="00F36806">
        <w:t>apixaban</w:t>
      </w:r>
      <w:proofErr w:type="spellEnd"/>
      <w:r w:rsidR="00574B50" w:rsidRPr="00F36806">
        <w:t xml:space="preserve"> </w:t>
      </w:r>
      <w:r w:rsidR="00F36806">
        <w:t xml:space="preserve">e </w:t>
      </w:r>
      <w:r w:rsidR="00574B50" w:rsidRPr="00F36806">
        <w:t>23</w:t>
      </w:r>
      <w:r>
        <w:t>.</w:t>
      </w:r>
      <w:r w:rsidR="00574B50" w:rsidRPr="00F36806">
        <w:t xml:space="preserve">172 </w:t>
      </w:r>
      <w:r w:rsidR="00F36806">
        <w:t>con</w:t>
      </w:r>
      <w:r w:rsidR="00574B50" w:rsidRPr="00F36806">
        <w:t xml:space="preserve"> </w:t>
      </w:r>
      <w:proofErr w:type="spellStart"/>
      <w:r w:rsidR="00574B50" w:rsidRPr="00F36806">
        <w:t>warfarin</w:t>
      </w:r>
      <w:proofErr w:type="spellEnd"/>
      <w:r w:rsidR="00F36806">
        <w:t xml:space="preserve">. Non vi erano differenze tra i due trattamenti sulla prevenzione delle ischemie, ma vi era una riduzione significativa dei sanguinamenti con </w:t>
      </w:r>
      <w:proofErr w:type="spellStart"/>
      <w:r w:rsidR="00F36806">
        <w:t>apixaban</w:t>
      </w:r>
      <w:proofErr w:type="spellEnd"/>
      <w:r w:rsidR="00F36806">
        <w:t>. D</w:t>
      </w:r>
      <w:r w:rsidR="00F36806" w:rsidRPr="00F36806">
        <w:t xml:space="preserve">opo </w:t>
      </w:r>
      <w:r w:rsidR="00F36806">
        <w:t xml:space="preserve">aggiustamento dei dati con la metodologia del </w:t>
      </w:r>
      <w:proofErr w:type="spellStart"/>
      <w:r w:rsidR="00F36806" w:rsidRPr="00F36806">
        <w:t>propensity</w:t>
      </w:r>
      <w:proofErr w:type="spellEnd"/>
      <w:r w:rsidR="00F36806" w:rsidRPr="00F36806">
        <w:t xml:space="preserve"> </w:t>
      </w:r>
      <w:proofErr w:type="spellStart"/>
      <w:r w:rsidR="00F36806" w:rsidRPr="00F36806">
        <w:t>matching</w:t>
      </w:r>
      <w:proofErr w:type="spellEnd"/>
      <w:r w:rsidR="00F36806" w:rsidRPr="00F36806">
        <w:t xml:space="preserve">, le emorragie intracraniche, </w:t>
      </w:r>
      <w:r w:rsidR="00F36806">
        <w:t>le emorragie</w:t>
      </w:r>
      <w:r w:rsidR="00F36806" w:rsidRPr="00F36806">
        <w:t xml:space="preserve"> </w:t>
      </w:r>
      <w:r w:rsidR="00F36806">
        <w:t>gastrointestinali</w:t>
      </w:r>
      <w:r w:rsidR="00F36806" w:rsidRPr="00F36806">
        <w:t xml:space="preserve"> e </w:t>
      </w:r>
      <w:r w:rsidR="00F36806">
        <w:t xml:space="preserve">le emorragie </w:t>
      </w:r>
      <w:r w:rsidR="00F36806" w:rsidRPr="00F36806">
        <w:t xml:space="preserve">maggiori </w:t>
      </w:r>
      <w:r w:rsidR="00F36806">
        <w:t xml:space="preserve">erano dimezzate </w:t>
      </w:r>
      <w:r w:rsidR="00F36806" w:rsidRPr="00F36806">
        <w:t xml:space="preserve">rispetto a </w:t>
      </w:r>
      <w:proofErr w:type="spellStart"/>
      <w:r>
        <w:t>w</w:t>
      </w:r>
      <w:r w:rsidR="00F36806" w:rsidRPr="00F36806">
        <w:t>arfarin</w:t>
      </w:r>
      <w:proofErr w:type="spellEnd"/>
      <w:r w:rsidR="00F36806" w:rsidRPr="00F36806">
        <w:t xml:space="preserve">. Da sottolineare </w:t>
      </w:r>
      <w:r w:rsidR="00F36806">
        <w:t xml:space="preserve">che </w:t>
      </w:r>
      <w:r w:rsidR="00F36806" w:rsidRPr="00F36806">
        <w:t xml:space="preserve">il dosaggio pieno di </w:t>
      </w:r>
      <w:proofErr w:type="spellStart"/>
      <w:r>
        <w:t>a</w:t>
      </w:r>
      <w:r w:rsidR="00F36806" w:rsidRPr="00F36806">
        <w:t>pixaban</w:t>
      </w:r>
      <w:proofErr w:type="spellEnd"/>
      <w:r w:rsidR="00F36806" w:rsidRPr="00F36806">
        <w:t xml:space="preserve"> (5 mg</w:t>
      </w:r>
      <w:r w:rsidR="00F36806">
        <w:t>x2</w:t>
      </w:r>
      <w:r w:rsidR="00F36806" w:rsidRPr="00F36806">
        <w:t>) rispetto al dosaggio ridotto</w:t>
      </w:r>
      <w:r w:rsidR="00F36806">
        <w:t xml:space="preserve"> (2,5x2) era quello con i risultati significativamente migliori</w:t>
      </w:r>
      <w:r w:rsidR="00F36806" w:rsidRPr="00F36806">
        <w:t xml:space="preserve">. </w:t>
      </w:r>
    </w:p>
    <w:p w:rsidR="007236E2" w:rsidRDefault="00B42901" w:rsidP="00171ADD">
      <w:pPr>
        <w:spacing w:before="100" w:beforeAutospacing="1" w:after="100" w:afterAutospacing="1"/>
      </w:pPr>
      <w:r>
        <w:t xml:space="preserve">Le linee guida </w:t>
      </w:r>
      <w:r w:rsidR="007236E2">
        <w:t>danno indicazioni non conclusive e anche parzialmente contrastanti, come conseguenza della carenza di dati disponibili in letteratura. Mentre l</w:t>
      </w:r>
      <w:r w:rsidR="007236E2" w:rsidRPr="007236E2">
        <w:t xml:space="preserve">e linee guida europee </w:t>
      </w:r>
      <w:r w:rsidR="007236E2">
        <w:t xml:space="preserve">del 2020 </w:t>
      </w:r>
      <w:r w:rsidR="007236E2" w:rsidRPr="007236E2">
        <w:t>non prendono in considerazione</w:t>
      </w:r>
      <w:r w:rsidR="005E17A7">
        <w:t>,</w:t>
      </w:r>
      <w:r w:rsidR="007236E2" w:rsidRPr="007236E2">
        <w:t xml:space="preserve"> </w:t>
      </w:r>
      <w:r w:rsidR="005E17A7">
        <w:t xml:space="preserve">in questa tipologia di pazienti, </w:t>
      </w:r>
      <w:r w:rsidR="007236E2">
        <w:t>la possibilità di utilizzare i</w:t>
      </w:r>
      <w:r w:rsidR="007236E2" w:rsidRPr="007236E2">
        <w:t xml:space="preserve"> DOAC al di sotto dei limiti previsti dagli studi registrativi</w:t>
      </w:r>
      <w:r w:rsidR="007236E2">
        <w:t xml:space="preserve"> …</w:t>
      </w:r>
    </w:p>
    <w:p w:rsidR="007236E2" w:rsidRDefault="007236E2" w:rsidP="00171ADD">
      <w:pPr>
        <w:spacing w:before="100" w:beforeAutospacing="1" w:after="100" w:afterAutospacing="1"/>
      </w:pPr>
      <w:r w:rsidRPr="007236E2">
        <w:rPr>
          <w:noProof/>
        </w:rPr>
        <w:drawing>
          <wp:inline distT="0" distB="0" distL="0" distR="0" wp14:anchorId="0802C4A3" wp14:editId="0BA87773">
            <wp:extent cx="5046133" cy="3687139"/>
            <wp:effectExtent l="0" t="0" r="0" b="0"/>
            <wp:docPr id="9" name="Immagin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1FEB83-E3E3-544D-834C-8FBB7ACCEB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1FEB83-E3E3-544D-834C-8FBB7ACCEB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10" cy="37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E2" w:rsidRDefault="007236E2" w:rsidP="00171ADD">
      <w:pPr>
        <w:spacing w:before="100" w:beforeAutospacing="1" w:after="100" w:afterAutospacing="1"/>
      </w:pPr>
      <w:r>
        <w:t>…</w:t>
      </w:r>
      <w:r w:rsidRPr="007236E2">
        <w:t xml:space="preserve"> le linee guida americane </w:t>
      </w:r>
      <w:r>
        <w:t>del 2023</w:t>
      </w:r>
      <w:r w:rsidR="00EE2943">
        <w:t>, ossia più recenti</w:t>
      </w:r>
      <w:r w:rsidRPr="007236E2">
        <w:t xml:space="preserve">, </w:t>
      </w:r>
      <w:r w:rsidR="005E17A7">
        <w:t>contemplano l’utilizzo</w:t>
      </w:r>
      <w:r w:rsidRPr="007236E2">
        <w:t xml:space="preserve"> sia </w:t>
      </w:r>
      <w:r w:rsidR="005E17A7">
        <w:t xml:space="preserve">di </w:t>
      </w:r>
      <w:proofErr w:type="spellStart"/>
      <w:r w:rsidRPr="007236E2">
        <w:t>warfarin</w:t>
      </w:r>
      <w:proofErr w:type="spellEnd"/>
      <w:r w:rsidRPr="007236E2">
        <w:t xml:space="preserve"> che </w:t>
      </w:r>
      <w:r w:rsidR="005E17A7">
        <w:t xml:space="preserve">di </w:t>
      </w:r>
      <w:proofErr w:type="spellStart"/>
      <w:r w:rsidRPr="007236E2">
        <w:t>apixaban</w:t>
      </w:r>
      <w:proofErr w:type="spellEnd"/>
      <w:r w:rsidRPr="007236E2">
        <w:t xml:space="preserve"> </w:t>
      </w:r>
      <w:r>
        <w:t>(nel suo dosaggio standard)</w:t>
      </w:r>
      <w:r w:rsidR="005E17A7">
        <w:t>, sebbene con una classe di indicazione debole (</w:t>
      </w:r>
      <w:r w:rsidRPr="007236E2">
        <w:t>2b</w:t>
      </w:r>
      <w:r w:rsidR="005E17A7">
        <w:t>)</w:t>
      </w:r>
      <w:r>
        <w:t>.</w:t>
      </w:r>
    </w:p>
    <w:p w:rsidR="007236E2" w:rsidRPr="007236E2" w:rsidRDefault="007236E2" w:rsidP="00171ADD">
      <w:pPr>
        <w:spacing w:before="100" w:beforeAutospacing="1" w:after="100" w:afterAutospacing="1"/>
      </w:pPr>
      <w:r w:rsidRPr="007236E2">
        <w:rPr>
          <w:noProof/>
        </w:rPr>
        <w:drawing>
          <wp:inline distT="0" distB="0" distL="0" distR="0" wp14:anchorId="6A048AD1" wp14:editId="1A121B73">
            <wp:extent cx="2612497" cy="3364442"/>
            <wp:effectExtent l="25400" t="25400" r="29210" b="26670"/>
            <wp:docPr id="10" name="Immagin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134440-2CAB-1B4C-8E8A-A10FE22E4B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134440-2CAB-1B4C-8E8A-A10FE22E4B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311" cy="337450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74B50" w:rsidRPr="00574B50" w:rsidRDefault="00574B50" w:rsidP="00171ADD">
      <w:pPr>
        <w:spacing w:before="100" w:beforeAutospacing="1" w:after="100" w:afterAutospacing="1"/>
      </w:pPr>
      <w:r w:rsidRPr="00574B50">
        <w:t>Non dimentichiamo che</w:t>
      </w:r>
      <w:r>
        <w:t>,</w:t>
      </w:r>
      <w:r w:rsidRPr="00574B50">
        <w:t xml:space="preserve"> in alternativa alla terapia anticoagulante</w:t>
      </w:r>
      <w:r>
        <w:t>,</w:t>
      </w:r>
      <w:r w:rsidRPr="00574B50">
        <w:t xml:space="preserve"> c’è la possibilità dell’occlusione meccanica dell’auricola</w:t>
      </w:r>
      <w:r w:rsidR="00AD02C1">
        <w:t xml:space="preserve"> (LAAC)</w:t>
      </w:r>
      <w:r w:rsidRPr="00574B50">
        <w:t xml:space="preserve">, sia con tecnica percutanea che con tecnica chirurgica. Non analizzeremo nel dettaglio questi studi, se non per ricordare che, complessivamente, l’occlusione dell’auricola riduce nettamente gli </w:t>
      </w:r>
      <w:proofErr w:type="spellStart"/>
      <w:r w:rsidRPr="00574B50">
        <w:t>stroke</w:t>
      </w:r>
      <w:proofErr w:type="spellEnd"/>
      <w:r w:rsidRPr="00574B50">
        <w:t xml:space="preserve"> emorragici e i sanguinamenti maggiori, senza peggioramento degli eventi ischemici e con rischi procedurali </w:t>
      </w:r>
      <w:r w:rsidR="005E17A7">
        <w:t xml:space="preserve">che si sono progressivamente ridotti con il miglioramento delle tecniche </w:t>
      </w:r>
      <w:r w:rsidR="00254629">
        <w:t xml:space="preserve">operatorie e delle tecnologie, fino a divenire, adesso, estremamente </w:t>
      </w:r>
      <w:r w:rsidRPr="00574B50">
        <w:t xml:space="preserve">bassi. Esistono tuttora alcuni dubbi </w:t>
      </w:r>
      <w:r w:rsidR="00EE2943">
        <w:t>ma</w:t>
      </w:r>
      <w:r w:rsidR="00AD02C1">
        <w:t xml:space="preserve">, grazie al continuo accumularsi di esperienze, </w:t>
      </w:r>
      <w:r w:rsidR="00254629">
        <w:t xml:space="preserve">di peso sempre minore </w:t>
      </w:r>
      <w:r w:rsidR="00AD02C1">
        <w:t>(e, attualmente, di scarsa rilevanza)</w:t>
      </w:r>
      <w:r w:rsidR="00254629">
        <w:t xml:space="preserve">. I dubbi principali sono </w:t>
      </w:r>
      <w:r w:rsidR="008C1FDD">
        <w:t>tre</w:t>
      </w:r>
      <w:r w:rsidRPr="00574B50">
        <w:t>: 1) necessità di attuare, comunque, prolungata terapia anticoagulante post-procedurale</w:t>
      </w:r>
      <w:r w:rsidR="008C1FDD">
        <w:t xml:space="preserve">; a questo proposito, tuttavia, </w:t>
      </w:r>
      <w:r w:rsidR="00AD02C1">
        <w:t xml:space="preserve">va sottolineato che </w:t>
      </w:r>
      <w:r w:rsidRPr="00574B50">
        <w:t>studi recenti sembr</w:t>
      </w:r>
      <w:r w:rsidR="008C1FDD">
        <w:t>a</w:t>
      </w:r>
      <w:r w:rsidRPr="00574B50">
        <w:t>no dimostrare che è possibile sostituirla senza danni con terapia antiaggregante</w:t>
      </w:r>
      <w:r w:rsidR="00EE2943">
        <w:t>,</w:t>
      </w:r>
      <w:r w:rsidR="008C1FDD">
        <w:t xml:space="preserve"> anche </w:t>
      </w:r>
      <w:r w:rsidR="00EE2943">
        <w:t>singola e solo per un mese</w:t>
      </w:r>
      <w:r w:rsidRPr="00574B50">
        <w:t xml:space="preserve">; 2) gli studi sull’occlusione sono tutti di confronto con </w:t>
      </w:r>
      <w:proofErr w:type="spellStart"/>
      <w:r w:rsidRPr="00574B50">
        <w:t>warfarin</w:t>
      </w:r>
      <w:proofErr w:type="spellEnd"/>
      <w:r w:rsidRPr="00574B50">
        <w:t xml:space="preserve"> e non</w:t>
      </w:r>
      <w:r w:rsidR="008C1FDD">
        <w:t xml:space="preserve"> con</w:t>
      </w:r>
      <w:r w:rsidRPr="00574B50">
        <w:t xml:space="preserve"> DOAC; 3) anche gli studi su LAAC escludevano pazienti con IRC avanzata.</w:t>
      </w:r>
    </w:p>
    <w:p w:rsidR="00B42901" w:rsidRPr="00F36806" w:rsidRDefault="00B42901" w:rsidP="00171ADD">
      <w:pPr>
        <w:spacing w:before="100" w:beforeAutospacing="1" w:after="100" w:afterAutospacing="1"/>
      </w:pPr>
    </w:p>
    <w:p w:rsidR="00B95F9A" w:rsidRPr="00F36806" w:rsidRDefault="00B95F9A" w:rsidP="00171ADD">
      <w:pPr>
        <w:spacing w:before="100" w:beforeAutospacing="1" w:after="100" w:afterAutospacing="1"/>
      </w:pPr>
    </w:p>
    <w:p w:rsidR="004D3A5B" w:rsidRPr="004D3A5B" w:rsidRDefault="004D3A5B" w:rsidP="00171ADD">
      <w:pPr>
        <w:spacing w:before="100" w:beforeAutospacing="1" w:after="100" w:afterAutospacing="1"/>
      </w:pPr>
    </w:p>
    <w:p w:rsidR="004D3A5B" w:rsidRPr="00FC3147" w:rsidRDefault="004D3A5B" w:rsidP="00171ADD">
      <w:pPr>
        <w:spacing w:before="100" w:beforeAutospacing="1" w:after="100" w:afterAutospacing="1"/>
      </w:pPr>
    </w:p>
    <w:p w:rsidR="004B1DF9" w:rsidRPr="00FC3147" w:rsidRDefault="004B1DF9" w:rsidP="00171ADD">
      <w:pPr>
        <w:pStyle w:val="NormaleWeb"/>
      </w:pPr>
    </w:p>
    <w:p w:rsidR="00FC3147" w:rsidRDefault="00FC3147" w:rsidP="00171ADD">
      <w:pPr>
        <w:spacing w:before="100" w:beforeAutospacing="1" w:after="100" w:afterAutospacing="1"/>
      </w:pPr>
    </w:p>
    <w:sectPr w:rsidR="00FC3147" w:rsidSect="00AD02C1">
      <w:pgSz w:w="12240" w:h="15840"/>
      <w:pgMar w:top="1319" w:right="1325" w:bottom="881" w:left="1276" w:header="0" w:footer="301" w:gutter="0"/>
      <w:cols w:space="708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iti TC Medium">
    <w:charset w:val="80"/>
    <w:family w:val="auto"/>
    <w:pitch w:val="variable"/>
    <w:sig w:usb0="8000002F" w:usb1="0807004A" w:usb2="00000010" w:usb3="00000000" w:csb0="003E0001" w:csb1="00000000"/>
  </w:font>
  <w:font w:name="AdvMyrlight_R">
    <w:altName w:val="Cambria"/>
    <w:panose1 w:val="00000000000000000000"/>
    <w:charset w:val="00"/>
    <w:family w:val="roman"/>
    <w:notTrueType/>
    <w:pitch w:val="default"/>
  </w:font>
  <w:font w:name="AdvOT1ef757c0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43EC5"/>
    <w:multiLevelType w:val="hybridMultilevel"/>
    <w:tmpl w:val="9D544414"/>
    <w:lvl w:ilvl="0" w:tplc="04242ED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8724E2E0" w:tentative="1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</w:lvl>
    <w:lvl w:ilvl="2" w:tplc="46CA0C18" w:tentative="1">
      <w:start w:val="1"/>
      <w:numFmt w:val="decimal"/>
      <w:lvlText w:val="%3)"/>
      <w:lvlJc w:val="left"/>
      <w:pPr>
        <w:tabs>
          <w:tab w:val="num" w:pos="2226"/>
        </w:tabs>
        <w:ind w:left="2226" w:hanging="360"/>
      </w:pPr>
    </w:lvl>
    <w:lvl w:ilvl="3" w:tplc="5AF2487A" w:tentative="1">
      <w:start w:val="1"/>
      <w:numFmt w:val="decimal"/>
      <w:lvlText w:val="%4)"/>
      <w:lvlJc w:val="left"/>
      <w:pPr>
        <w:tabs>
          <w:tab w:val="num" w:pos="2946"/>
        </w:tabs>
        <w:ind w:left="2946" w:hanging="360"/>
      </w:pPr>
    </w:lvl>
    <w:lvl w:ilvl="4" w:tplc="CA329D10" w:tentative="1">
      <w:start w:val="1"/>
      <w:numFmt w:val="decimal"/>
      <w:lvlText w:val="%5)"/>
      <w:lvlJc w:val="left"/>
      <w:pPr>
        <w:tabs>
          <w:tab w:val="num" w:pos="3666"/>
        </w:tabs>
        <w:ind w:left="3666" w:hanging="360"/>
      </w:pPr>
    </w:lvl>
    <w:lvl w:ilvl="5" w:tplc="D4B26A50" w:tentative="1">
      <w:start w:val="1"/>
      <w:numFmt w:val="decimal"/>
      <w:lvlText w:val="%6)"/>
      <w:lvlJc w:val="left"/>
      <w:pPr>
        <w:tabs>
          <w:tab w:val="num" w:pos="4386"/>
        </w:tabs>
        <w:ind w:left="4386" w:hanging="360"/>
      </w:pPr>
    </w:lvl>
    <w:lvl w:ilvl="6" w:tplc="E2848DB0" w:tentative="1">
      <w:start w:val="1"/>
      <w:numFmt w:val="decimal"/>
      <w:lvlText w:val="%7)"/>
      <w:lvlJc w:val="left"/>
      <w:pPr>
        <w:tabs>
          <w:tab w:val="num" w:pos="5106"/>
        </w:tabs>
        <w:ind w:left="5106" w:hanging="360"/>
      </w:pPr>
    </w:lvl>
    <w:lvl w:ilvl="7" w:tplc="3D6A806A" w:tentative="1">
      <w:start w:val="1"/>
      <w:numFmt w:val="decimal"/>
      <w:lvlText w:val="%8)"/>
      <w:lvlJc w:val="left"/>
      <w:pPr>
        <w:tabs>
          <w:tab w:val="num" w:pos="5826"/>
        </w:tabs>
        <w:ind w:left="5826" w:hanging="360"/>
      </w:pPr>
    </w:lvl>
    <w:lvl w:ilvl="8" w:tplc="D8E8C040" w:tentative="1">
      <w:start w:val="1"/>
      <w:numFmt w:val="decimal"/>
      <w:lvlText w:val="%9)"/>
      <w:lvlJc w:val="left"/>
      <w:pPr>
        <w:tabs>
          <w:tab w:val="num" w:pos="6546"/>
        </w:tabs>
        <w:ind w:left="6546" w:hanging="360"/>
      </w:pPr>
    </w:lvl>
  </w:abstractNum>
  <w:abstractNum w:abstractNumId="1">
    <w:nsid w:val="313A4DF6"/>
    <w:multiLevelType w:val="hybridMultilevel"/>
    <w:tmpl w:val="2EF4BEDC"/>
    <w:lvl w:ilvl="0" w:tplc="77628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EA2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6A3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287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327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04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F28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C9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C0B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36A76E5"/>
    <w:multiLevelType w:val="hybridMultilevel"/>
    <w:tmpl w:val="FE70BF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C326C4"/>
    <w:multiLevelType w:val="hybridMultilevel"/>
    <w:tmpl w:val="D9B0ECD6"/>
    <w:lvl w:ilvl="0" w:tplc="5D96B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B00818">
      <w:start w:val="2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3EC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41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DAD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905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45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E85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B22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F2D1AFF"/>
    <w:multiLevelType w:val="hybridMultilevel"/>
    <w:tmpl w:val="B3625044"/>
    <w:lvl w:ilvl="0" w:tplc="D4204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C4C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29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980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101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DC1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60B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64D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40A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drawingGridHorizontalSpacing w:val="108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6A2"/>
    <w:rsid w:val="00073205"/>
    <w:rsid w:val="00114355"/>
    <w:rsid w:val="0013607A"/>
    <w:rsid w:val="00171ADD"/>
    <w:rsid w:val="002146BD"/>
    <w:rsid w:val="00254629"/>
    <w:rsid w:val="002C7DC5"/>
    <w:rsid w:val="0031706D"/>
    <w:rsid w:val="00340E57"/>
    <w:rsid w:val="003C6EBC"/>
    <w:rsid w:val="00405C89"/>
    <w:rsid w:val="00497DB9"/>
    <w:rsid w:val="004B1DF9"/>
    <w:rsid w:val="004D3A5B"/>
    <w:rsid w:val="00574B50"/>
    <w:rsid w:val="005E17A7"/>
    <w:rsid w:val="006A7AF7"/>
    <w:rsid w:val="006B3A33"/>
    <w:rsid w:val="007236E2"/>
    <w:rsid w:val="007C6CA1"/>
    <w:rsid w:val="00830E56"/>
    <w:rsid w:val="008757A8"/>
    <w:rsid w:val="00892B61"/>
    <w:rsid w:val="008C1FDD"/>
    <w:rsid w:val="008C709C"/>
    <w:rsid w:val="009146A2"/>
    <w:rsid w:val="0091634C"/>
    <w:rsid w:val="00976E76"/>
    <w:rsid w:val="009B09A8"/>
    <w:rsid w:val="009F1FAB"/>
    <w:rsid w:val="00AB70D5"/>
    <w:rsid w:val="00AD02C1"/>
    <w:rsid w:val="00AD5290"/>
    <w:rsid w:val="00B42901"/>
    <w:rsid w:val="00B95F9A"/>
    <w:rsid w:val="00C8454B"/>
    <w:rsid w:val="00CE4935"/>
    <w:rsid w:val="00E92A5C"/>
    <w:rsid w:val="00EE2943"/>
    <w:rsid w:val="00EF5841"/>
    <w:rsid w:val="00F26114"/>
    <w:rsid w:val="00F36806"/>
    <w:rsid w:val="00F75CB8"/>
    <w:rsid w:val="00FB038F"/>
    <w:rsid w:val="00FC3147"/>
    <w:rsid w:val="00FF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607A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F26114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340E57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rsid w:val="00340E5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7DC5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405C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607A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F26114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340E57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rsid w:val="00340E5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7DC5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405C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7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47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9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0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8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9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9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83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6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75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7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85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7083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88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55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99114">
          <w:marLeft w:val="446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12">
          <w:marLeft w:val="446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7045">
          <w:marLeft w:val="446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4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0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tommaso cipolla</dc:creator>
  <cp:keywords/>
  <dc:description/>
  <cp:lastModifiedBy>Vincenzo Lombardo</cp:lastModifiedBy>
  <cp:revision>3</cp:revision>
  <cp:lastPrinted>2024-07-09T16:27:00Z</cp:lastPrinted>
  <dcterms:created xsi:type="dcterms:W3CDTF">2024-11-07T08:46:00Z</dcterms:created>
  <dcterms:modified xsi:type="dcterms:W3CDTF">2024-11-07T12:46:00Z</dcterms:modified>
</cp:coreProperties>
</file>